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B15" w:rsidRPr="005F75D6" w:rsidRDefault="004F6B15" w:rsidP="004F6B15">
      <w:pPr>
        <w:spacing w:line="276" w:lineRule="auto"/>
        <w:rPr>
          <w:sz w:val="28"/>
          <w:szCs w:val="28"/>
        </w:rPr>
      </w:pPr>
      <w:r w:rsidRPr="005F75D6">
        <w:rPr>
          <w:b/>
          <w:sz w:val="28"/>
          <w:szCs w:val="28"/>
        </w:rPr>
        <w:t>Personnel Document</w:t>
      </w:r>
      <w:r w:rsidR="00EC333B" w:rsidRPr="005F75D6">
        <w:rPr>
          <w:b/>
          <w:sz w:val="28"/>
          <w:szCs w:val="28"/>
        </w:rPr>
        <w:tab/>
      </w:r>
      <w:r w:rsidR="00EC333B" w:rsidRPr="005F75D6">
        <w:rPr>
          <w:b/>
          <w:sz w:val="28"/>
          <w:szCs w:val="28"/>
        </w:rPr>
        <w:tab/>
      </w:r>
    </w:p>
    <w:p w:rsidR="004F6B15" w:rsidRPr="005F75D6" w:rsidRDefault="004F6B15" w:rsidP="004F6B15">
      <w:pPr>
        <w:spacing w:line="276" w:lineRule="auto"/>
      </w:pPr>
    </w:p>
    <w:p w:rsidR="004F6B15" w:rsidRPr="005F75D6" w:rsidRDefault="004F6B15" w:rsidP="004F6B15">
      <w:pPr>
        <w:spacing w:line="276" w:lineRule="auto"/>
        <w:rPr>
          <w:b/>
        </w:rPr>
      </w:pPr>
      <w:r w:rsidRPr="005F75D6">
        <w:rPr>
          <w:b/>
        </w:rPr>
        <w:t>Department of Industrial Engineering (INEG)</w:t>
      </w:r>
    </w:p>
    <w:p w:rsidR="004F6B15" w:rsidRPr="005F75D6" w:rsidRDefault="004F6B15" w:rsidP="004F6B15">
      <w:pPr>
        <w:spacing w:line="276" w:lineRule="auto"/>
      </w:pPr>
      <w:r w:rsidRPr="005F75D6">
        <w:t>College of Engineering (COE)</w:t>
      </w:r>
    </w:p>
    <w:p w:rsidR="004F6B15" w:rsidRPr="005F75D6" w:rsidRDefault="004F6B15" w:rsidP="004F6B15">
      <w:pPr>
        <w:spacing w:line="276" w:lineRule="auto"/>
      </w:pPr>
      <w:r w:rsidRPr="005F75D6">
        <w:t>University of Arkansas, Fayetteville (UofA)</w:t>
      </w:r>
    </w:p>
    <w:p w:rsidR="004F6B15" w:rsidRPr="005F75D6" w:rsidRDefault="004F6B15" w:rsidP="004F6B15">
      <w:pPr>
        <w:spacing w:line="276" w:lineRule="auto"/>
      </w:pPr>
    </w:p>
    <w:p w:rsidR="004F6B15" w:rsidRPr="005F75D6" w:rsidRDefault="004F6B15" w:rsidP="004F6B15">
      <w:pPr>
        <w:spacing w:line="276" w:lineRule="auto"/>
      </w:pPr>
      <w:r w:rsidRPr="005F75D6">
        <w:t xml:space="preserve">Approved by the </w:t>
      </w:r>
      <w:r w:rsidR="000A6257" w:rsidRPr="005F75D6">
        <w:t xml:space="preserve">INEG </w:t>
      </w:r>
      <w:r w:rsidRPr="005F75D6">
        <w:t xml:space="preserve">faculty: </w:t>
      </w:r>
      <w:r w:rsidR="00A06CBA" w:rsidRPr="005F75D6">
        <w:t>5/8/2020</w:t>
      </w:r>
    </w:p>
    <w:p w:rsidR="004F6B15" w:rsidRPr="005F75D6" w:rsidRDefault="004F6B15" w:rsidP="004F6B15">
      <w:pPr>
        <w:spacing w:line="276" w:lineRule="auto"/>
      </w:pPr>
    </w:p>
    <w:p w:rsidR="004F6B15" w:rsidRPr="005F75D6" w:rsidRDefault="004F6B15" w:rsidP="004F6B15">
      <w:pPr>
        <w:spacing w:line="276" w:lineRule="auto"/>
        <w:rPr>
          <w:b/>
        </w:rPr>
      </w:pPr>
      <w:r w:rsidRPr="005F75D6">
        <w:rPr>
          <w:b/>
        </w:rPr>
        <w:t>Preamble</w:t>
      </w:r>
    </w:p>
    <w:p w:rsidR="004F6B15" w:rsidRPr="005F75D6" w:rsidRDefault="004F6B15" w:rsidP="004F6B15">
      <w:pPr>
        <w:spacing w:line="276" w:lineRule="auto"/>
      </w:pPr>
      <w:r w:rsidRPr="005F75D6">
        <w:t xml:space="preserve">This document governs </w:t>
      </w:r>
      <w:r w:rsidR="000A6257" w:rsidRPr="005F75D6">
        <w:t>INEG</w:t>
      </w:r>
      <w:r w:rsidRPr="005F75D6">
        <w:t xml:space="preserve"> in the </w:t>
      </w:r>
      <w:r w:rsidR="0048009F" w:rsidRPr="005F75D6">
        <w:t>formation of the Unit Personnel Committee and the annual</w:t>
      </w:r>
      <w:r w:rsidR="000A6257" w:rsidRPr="005F75D6">
        <w:t xml:space="preserve"> review of </w:t>
      </w:r>
      <w:r w:rsidR="0048009F" w:rsidRPr="005F75D6">
        <w:t xml:space="preserve">full-time INEG </w:t>
      </w:r>
      <w:r w:rsidR="000A6257" w:rsidRPr="005F75D6">
        <w:t>faculty</w:t>
      </w:r>
      <w:r w:rsidRPr="005F75D6">
        <w:t xml:space="preserve"> effective </w:t>
      </w:r>
      <w:r w:rsidR="00A06CBA" w:rsidRPr="005F75D6">
        <w:t>5/8/2020</w:t>
      </w:r>
      <w:r w:rsidRPr="005F75D6">
        <w:t xml:space="preserve">. </w:t>
      </w:r>
      <w:r w:rsidR="000A6257" w:rsidRPr="005F75D6">
        <w:t>As indicated by the signatures that follow this preamble, this document</w:t>
      </w:r>
      <w:r w:rsidRPr="005F75D6">
        <w:t xml:space="preserve"> has been approved by the </w:t>
      </w:r>
      <w:r w:rsidR="000A6257" w:rsidRPr="005F75D6">
        <w:t>INEG faculty</w:t>
      </w:r>
      <w:r w:rsidRPr="005F75D6">
        <w:t xml:space="preserve">, </w:t>
      </w:r>
      <w:r w:rsidR="009F50BE" w:rsidRPr="005F75D6">
        <w:t xml:space="preserve">the </w:t>
      </w:r>
      <w:r w:rsidR="000A6257" w:rsidRPr="005F75D6">
        <w:t xml:space="preserve">COE </w:t>
      </w:r>
      <w:r w:rsidR="0048009F" w:rsidRPr="005F75D6">
        <w:t>D</w:t>
      </w:r>
      <w:r w:rsidR="000A6257" w:rsidRPr="005F75D6">
        <w:t>ean</w:t>
      </w:r>
      <w:r w:rsidRPr="005F75D6">
        <w:t xml:space="preserve">, the </w:t>
      </w:r>
      <w:r w:rsidR="000A6257" w:rsidRPr="005F75D6">
        <w:t xml:space="preserve">UofA </w:t>
      </w:r>
      <w:r w:rsidR="0048009F" w:rsidRPr="005F75D6">
        <w:t>P</w:t>
      </w:r>
      <w:r w:rsidRPr="005F75D6">
        <w:t xml:space="preserve">rovost, the </w:t>
      </w:r>
      <w:r w:rsidR="000A6257" w:rsidRPr="005F75D6">
        <w:t xml:space="preserve">UofA </w:t>
      </w:r>
      <w:r w:rsidR="0048009F" w:rsidRPr="005F75D6">
        <w:t>C</w:t>
      </w:r>
      <w:r w:rsidRPr="005F75D6">
        <w:t xml:space="preserve">hancellor, and the </w:t>
      </w:r>
      <w:r w:rsidR="0048009F" w:rsidRPr="005F75D6">
        <w:t>P</w:t>
      </w:r>
      <w:r w:rsidRPr="005F75D6">
        <w:t>resident of the University of Arkansas System.</w:t>
      </w:r>
    </w:p>
    <w:p w:rsidR="004F6B15" w:rsidRPr="005F75D6" w:rsidRDefault="004F6B15" w:rsidP="004F6B15">
      <w:pPr>
        <w:spacing w:line="276" w:lineRule="auto"/>
      </w:pPr>
    </w:p>
    <w:p w:rsidR="004F6B15" w:rsidRPr="005F75D6" w:rsidRDefault="000A6257" w:rsidP="004F6B15">
      <w:pPr>
        <w:spacing w:line="276" w:lineRule="auto"/>
      </w:pPr>
      <w:r w:rsidRPr="005F75D6">
        <w:t>The policies and procedures detailed in this document are</w:t>
      </w:r>
      <w:r w:rsidR="0048009F" w:rsidRPr="005F75D6">
        <w:t xml:space="preserve"> supplementary to and</w:t>
      </w:r>
      <w:r w:rsidR="004F6B15" w:rsidRPr="005F75D6">
        <w:t xml:space="preserve"> required to be consistent with the</w:t>
      </w:r>
      <w:r w:rsidRPr="005F75D6">
        <w:t xml:space="preserve"> COE Personnel Document and the following</w:t>
      </w:r>
      <w:r w:rsidR="004F6B15" w:rsidRPr="005F75D6">
        <w:t xml:space="preserve"> policies </w:t>
      </w:r>
      <w:r w:rsidRPr="005F75D6">
        <w:t>of the UofA and the</w:t>
      </w:r>
      <w:r w:rsidR="004F6B15" w:rsidRPr="005F75D6">
        <w:t xml:space="preserve"> University of Arkansas System:</w:t>
      </w:r>
    </w:p>
    <w:p w:rsidR="004F6B15" w:rsidRPr="005F75D6" w:rsidRDefault="004F6B15" w:rsidP="000A6257">
      <w:pPr>
        <w:pStyle w:val="ListParagraph"/>
        <w:numPr>
          <w:ilvl w:val="0"/>
          <w:numId w:val="1"/>
        </w:numPr>
        <w:spacing w:line="276" w:lineRule="auto"/>
      </w:pPr>
      <w:r w:rsidRPr="005F75D6">
        <w:t xml:space="preserve">Appointment, Promotion, Tenure, Non-Reappointment and Dismissal of Faculty (Board of Trustees Policy 405.1) </w:t>
      </w:r>
    </w:p>
    <w:p w:rsidR="004F6B15" w:rsidRPr="005F75D6" w:rsidRDefault="004F6B15" w:rsidP="000A6257">
      <w:pPr>
        <w:pStyle w:val="ListParagraph"/>
        <w:numPr>
          <w:ilvl w:val="0"/>
          <w:numId w:val="1"/>
        </w:numPr>
        <w:spacing w:line="276" w:lineRule="auto"/>
      </w:pPr>
      <w:r w:rsidRPr="005F75D6">
        <w:t>Termination of Appointment (Board of Trustees Policy 405.4)</w:t>
      </w:r>
    </w:p>
    <w:p w:rsidR="004F6B15" w:rsidRPr="005F75D6" w:rsidRDefault="004F6B15" w:rsidP="000A6257">
      <w:pPr>
        <w:pStyle w:val="ListParagraph"/>
        <w:numPr>
          <w:ilvl w:val="0"/>
          <w:numId w:val="1"/>
        </w:numPr>
        <w:spacing w:line="276" w:lineRule="auto"/>
      </w:pPr>
      <w:r w:rsidRPr="005F75D6">
        <w:t>Distinguished Professorships (Board Policy 470.1)</w:t>
      </w:r>
    </w:p>
    <w:p w:rsidR="004F6B15" w:rsidRPr="005F75D6" w:rsidRDefault="004F6B15" w:rsidP="000A6257">
      <w:pPr>
        <w:pStyle w:val="ListParagraph"/>
        <w:numPr>
          <w:ilvl w:val="0"/>
          <w:numId w:val="1"/>
        </w:numPr>
        <w:spacing w:line="276" w:lineRule="auto"/>
      </w:pPr>
      <w:r w:rsidRPr="005F75D6">
        <w:t>Conflict of Interest and Conflict of Commitment; Including Outside Activity (Fayetteville Policy 404.0)</w:t>
      </w:r>
    </w:p>
    <w:p w:rsidR="004F6B15" w:rsidRPr="005F75D6" w:rsidRDefault="004F6B15" w:rsidP="000A6257">
      <w:pPr>
        <w:pStyle w:val="ListParagraph"/>
        <w:numPr>
          <w:ilvl w:val="0"/>
          <w:numId w:val="1"/>
        </w:numPr>
        <w:spacing w:line="276" w:lineRule="auto"/>
      </w:pPr>
      <w:r w:rsidRPr="005F75D6">
        <w:t xml:space="preserve">Evaluative Criteria, Procedures, and General Standards and Initial Appointment, Successive </w:t>
      </w:r>
      <w:r w:rsidR="000A6257" w:rsidRPr="005F75D6">
        <w:t>A</w:t>
      </w:r>
      <w:r w:rsidRPr="005F75D6">
        <w:t>ppointments, Annual and Post-tenure Review, Promotion and Tenure (Academic Policy 1405.11)</w:t>
      </w:r>
    </w:p>
    <w:p w:rsidR="004F6B15" w:rsidRPr="005F75D6" w:rsidRDefault="004F6B15" w:rsidP="000A6257">
      <w:pPr>
        <w:pStyle w:val="ListParagraph"/>
        <w:numPr>
          <w:ilvl w:val="0"/>
          <w:numId w:val="1"/>
        </w:numPr>
        <w:spacing w:line="276" w:lineRule="auto"/>
      </w:pPr>
      <w:r w:rsidRPr="005F75D6">
        <w:t>Guidelines for University and Distinguished Professor Appointments, Annex A and B (Academic Policy 1405.13)</w:t>
      </w:r>
    </w:p>
    <w:p w:rsidR="004F6B15" w:rsidRPr="005F75D6" w:rsidRDefault="004F6B15" w:rsidP="000A6257">
      <w:pPr>
        <w:pStyle w:val="ListParagraph"/>
        <w:numPr>
          <w:ilvl w:val="0"/>
          <w:numId w:val="1"/>
        </w:numPr>
        <w:spacing w:line="276" w:lineRule="auto"/>
      </w:pPr>
      <w:r w:rsidRPr="005F75D6">
        <w:t>Faculty Ranks and Titles and Research Assistant and Research Associate Positions, (Academic Policy 1435.50)</w:t>
      </w:r>
    </w:p>
    <w:p w:rsidR="004F6B15" w:rsidRPr="005F75D6" w:rsidRDefault="004F6B15" w:rsidP="004F6B15">
      <w:pPr>
        <w:spacing w:line="276" w:lineRule="auto"/>
      </w:pPr>
      <w:r w:rsidRPr="005F75D6">
        <w:t xml:space="preserve">In case of conflict, </w:t>
      </w:r>
      <w:r w:rsidR="000A6257" w:rsidRPr="005F75D6">
        <w:t xml:space="preserve">the order of authority is (1) </w:t>
      </w:r>
      <w:r w:rsidR="0048009F" w:rsidRPr="005F75D6">
        <w:t xml:space="preserve">Board of Trustees </w:t>
      </w:r>
      <w:r w:rsidRPr="005F75D6">
        <w:t>polic</w:t>
      </w:r>
      <w:r w:rsidR="000A6257" w:rsidRPr="005F75D6">
        <w:t>ies</w:t>
      </w:r>
      <w:r w:rsidRPr="005F75D6">
        <w:t xml:space="preserve">, </w:t>
      </w:r>
      <w:r w:rsidR="000A6257" w:rsidRPr="005F75D6">
        <w:t>(2) UofA</w:t>
      </w:r>
      <w:r w:rsidRPr="005F75D6">
        <w:t xml:space="preserve"> polic</w:t>
      </w:r>
      <w:r w:rsidR="000A6257" w:rsidRPr="005F75D6">
        <w:t>ies</w:t>
      </w:r>
      <w:r w:rsidRPr="005F75D6">
        <w:t xml:space="preserve">, </w:t>
      </w:r>
      <w:r w:rsidR="000A6257" w:rsidRPr="005F75D6">
        <w:t xml:space="preserve">(3) </w:t>
      </w:r>
      <w:r w:rsidRPr="005F75D6">
        <w:t xml:space="preserve">the </w:t>
      </w:r>
      <w:r w:rsidR="000A6257" w:rsidRPr="005F75D6">
        <w:t>COE Personnel Document</w:t>
      </w:r>
      <w:r w:rsidRPr="005F75D6">
        <w:t xml:space="preserve">, and </w:t>
      </w:r>
      <w:r w:rsidR="000A6257" w:rsidRPr="005F75D6">
        <w:t>(4) this</w:t>
      </w:r>
      <w:r w:rsidRPr="005F75D6">
        <w:t xml:space="preserve"> </w:t>
      </w:r>
      <w:r w:rsidR="000A6257" w:rsidRPr="005F75D6">
        <w:t>document</w:t>
      </w:r>
      <w:r w:rsidRPr="005F75D6">
        <w:t xml:space="preserve">. </w:t>
      </w:r>
      <w:r w:rsidR="008C098A" w:rsidRPr="005F75D6">
        <w:t>Accordingly, all definitions, criteria, policies, and procedures from (1), (2), and (3) are applicable to this document.</w:t>
      </w:r>
    </w:p>
    <w:p w:rsidR="004F6B15" w:rsidRPr="005F75D6" w:rsidRDefault="004F6B15" w:rsidP="004F6B15">
      <w:pPr>
        <w:spacing w:line="276" w:lineRule="auto"/>
      </w:pPr>
    </w:p>
    <w:p w:rsidR="004F6B15" w:rsidRPr="005F75D6" w:rsidRDefault="004F6B15" w:rsidP="004F6B15">
      <w:pPr>
        <w:spacing w:line="276" w:lineRule="auto"/>
      </w:pPr>
      <w:r w:rsidRPr="005F75D6">
        <w:t>The principal responsibility for implementing th</w:t>
      </w:r>
      <w:r w:rsidR="00961A54" w:rsidRPr="005F75D6">
        <w:t xml:space="preserve">e policies detailed in this </w:t>
      </w:r>
      <w:r w:rsidRPr="005F75D6">
        <w:t xml:space="preserve">document rests with the </w:t>
      </w:r>
      <w:r w:rsidR="00961A54" w:rsidRPr="005F75D6">
        <w:t xml:space="preserve">INEG </w:t>
      </w:r>
      <w:r w:rsidR="0048009F" w:rsidRPr="005F75D6">
        <w:t>D</w:t>
      </w:r>
      <w:r w:rsidRPr="005F75D6">
        <w:t xml:space="preserve">epartment </w:t>
      </w:r>
      <w:r w:rsidR="0048009F" w:rsidRPr="005F75D6">
        <w:t>H</w:t>
      </w:r>
      <w:r w:rsidRPr="005F75D6">
        <w:t>ead</w:t>
      </w:r>
      <w:r w:rsidR="0069594F" w:rsidRPr="005F75D6">
        <w:t>,</w:t>
      </w:r>
      <w:r w:rsidRPr="005F75D6">
        <w:t xml:space="preserve"> </w:t>
      </w:r>
      <w:r w:rsidR="0069594F" w:rsidRPr="005F75D6">
        <w:t>h</w:t>
      </w:r>
      <w:r w:rsidRPr="005F75D6">
        <w:t xml:space="preserve">owever, </w:t>
      </w:r>
      <w:r w:rsidR="0069594F" w:rsidRPr="005F75D6">
        <w:t>Board of Trustees, UofA, and COE</w:t>
      </w:r>
      <w:r w:rsidR="00961A54" w:rsidRPr="005F75D6">
        <w:t xml:space="preserve"> </w:t>
      </w:r>
      <w:r w:rsidRPr="005F75D6">
        <w:t xml:space="preserve">policies assign important roles to the </w:t>
      </w:r>
      <w:r w:rsidR="00961A54" w:rsidRPr="005F75D6">
        <w:t xml:space="preserve">INEG </w:t>
      </w:r>
      <w:r w:rsidRPr="005F75D6">
        <w:t>faculty</w:t>
      </w:r>
      <w:r w:rsidR="00961A54" w:rsidRPr="005F75D6">
        <w:t>.</w:t>
      </w:r>
      <w:r w:rsidRPr="005F75D6">
        <w:t xml:space="preserve"> </w:t>
      </w:r>
    </w:p>
    <w:p w:rsidR="004F6B15" w:rsidRPr="005F75D6" w:rsidRDefault="004F6B15" w:rsidP="004F6B15">
      <w:pPr>
        <w:spacing w:line="276" w:lineRule="auto"/>
      </w:pPr>
    </w:p>
    <w:p w:rsidR="004F6B15" w:rsidRPr="005F75D6" w:rsidRDefault="00961A54" w:rsidP="004F6B15">
      <w:pPr>
        <w:spacing w:line="276" w:lineRule="auto"/>
      </w:pPr>
      <w:r w:rsidRPr="005F75D6">
        <w:t>INEG f</w:t>
      </w:r>
      <w:r w:rsidR="004F6B15" w:rsidRPr="005F75D6">
        <w:t xml:space="preserve">aculty performance is evaluated each year </w:t>
      </w:r>
      <w:r w:rsidRPr="005F75D6">
        <w:t>within the department.</w:t>
      </w:r>
      <w:r w:rsidR="004F6B15" w:rsidRPr="005F75D6">
        <w:t xml:space="preserve"> </w:t>
      </w:r>
      <w:r w:rsidRPr="005F75D6">
        <w:t>R</w:t>
      </w:r>
      <w:r w:rsidR="004F6B15" w:rsidRPr="005F75D6">
        <w:t xml:space="preserve">ecommendations for promotion </w:t>
      </w:r>
      <w:r w:rsidRPr="005F75D6">
        <w:t xml:space="preserve">of </w:t>
      </w:r>
      <w:r w:rsidR="004F6B15" w:rsidRPr="005F75D6">
        <w:t xml:space="preserve">and </w:t>
      </w:r>
      <w:r w:rsidRPr="005F75D6">
        <w:t xml:space="preserve">the awarding of </w:t>
      </w:r>
      <w:r w:rsidR="004F6B15" w:rsidRPr="005F75D6">
        <w:t>tenure</w:t>
      </w:r>
      <w:r w:rsidRPr="005F75D6">
        <w:t xml:space="preserve"> to INEG faculty</w:t>
      </w:r>
      <w:r w:rsidR="004F6B15" w:rsidRPr="005F75D6">
        <w:t xml:space="preserve"> originate in the department and are reviewed by the </w:t>
      </w:r>
      <w:r w:rsidR="0048009F" w:rsidRPr="005F75D6">
        <w:t>COE</w:t>
      </w:r>
      <w:r w:rsidR="004F6B15" w:rsidRPr="005F75D6">
        <w:t xml:space="preserve">. </w:t>
      </w:r>
      <w:r w:rsidR="0048009F" w:rsidRPr="005F75D6">
        <w:t>COE</w:t>
      </w:r>
      <w:r w:rsidR="004F6B15" w:rsidRPr="005F75D6">
        <w:t xml:space="preserve"> policies on faculty service are designed to recognize and reward meritorious performance by salary increases, promotion, and </w:t>
      </w:r>
      <w:r w:rsidRPr="005F75D6">
        <w:t>the awarding</w:t>
      </w:r>
      <w:r w:rsidR="004F6B15" w:rsidRPr="005F75D6">
        <w:t xml:space="preserve"> of tenure. </w:t>
      </w:r>
      <w:r w:rsidRPr="005F75D6">
        <w:t>The awarding</w:t>
      </w:r>
      <w:r w:rsidR="004F6B15" w:rsidRPr="005F75D6">
        <w:t xml:space="preserve"> of tenure requires a high standard of performance in teaching, </w:t>
      </w:r>
      <w:r w:rsidR="00A0640A" w:rsidRPr="005F75D6">
        <w:t>scholarship</w:t>
      </w:r>
      <w:r w:rsidRPr="005F75D6">
        <w:t>,</w:t>
      </w:r>
      <w:r w:rsidR="004F6B15" w:rsidRPr="005F75D6">
        <w:t xml:space="preserve"> and service.</w:t>
      </w:r>
    </w:p>
    <w:p w:rsidR="004F6B15" w:rsidRPr="005F75D6" w:rsidRDefault="004F6B15" w:rsidP="004F6B15">
      <w:pPr>
        <w:spacing w:line="276" w:lineRule="auto"/>
      </w:pPr>
    </w:p>
    <w:p w:rsidR="004F6B15" w:rsidRPr="005F75D6" w:rsidRDefault="004F6B15" w:rsidP="004F6B15">
      <w:pPr>
        <w:spacing w:line="276" w:lineRule="auto"/>
      </w:pPr>
      <w:r w:rsidRPr="005F75D6">
        <w:t xml:space="preserve">All decisions in </w:t>
      </w:r>
      <w:r w:rsidR="00961A54" w:rsidRPr="005F75D6">
        <w:t xml:space="preserve">initial appointment of faculty, successive appointments and review of faculty, promotion of faculty, the awarding of tenure to faculty, and the dismissal of faculty </w:t>
      </w:r>
      <w:r w:rsidRPr="005F75D6">
        <w:t xml:space="preserve">shall be made on the basis of professional merit, the quality of performance of assigned duties, and the quality of or potential for contribution to the </w:t>
      </w:r>
      <w:r w:rsidR="00961A54" w:rsidRPr="005F75D6">
        <w:t>UofA</w:t>
      </w:r>
      <w:r w:rsidRPr="005F75D6">
        <w:t xml:space="preserve">. Exceptions are based on financial exigency as defined by </w:t>
      </w:r>
      <w:r w:rsidR="00961A54" w:rsidRPr="005F75D6">
        <w:t>board</w:t>
      </w:r>
      <w:r w:rsidRPr="005F75D6">
        <w:t xml:space="preserve"> policy or elimination of programs.</w:t>
      </w:r>
    </w:p>
    <w:p w:rsidR="004F6B15" w:rsidRPr="005F75D6" w:rsidRDefault="004F6B15" w:rsidP="004F6B15">
      <w:pPr>
        <w:spacing w:line="276" w:lineRule="auto"/>
      </w:pPr>
    </w:p>
    <w:p w:rsidR="004F6B15" w:rsidRPr="005F75D6" w:rsidRDefault="004F6B15" w:rsidP="004F6B15">
      <w:pPr>
        <w:spacing w:line="276" w:lineRule="auto"/>
      </w:pPr>
      <w:r w:rsidRPr="005F75D6">
        <w:t xml:space="preserve">It is the policy of the </w:t>
      </w:r>
      <w:r w:rsidR="00961A54" w:rsidRPr="005F75D6">
        <w:t>UofA</w:t>
      </w:r>
      <w:r w:rsidRPr="005F75D6">
        <w:t xml:space="preserve"> to provide equal employment opportunity to all qualified persons; to prohibit discrimination against any employee or applicant for employment because of race, color, religion, sex, age, national origin, sexual orientation, marital or parental status, veteran's status, or disability, and to promote the full realization of equal employment opportunity through a positive, continuing program of affirmative action.</w:t>
      </w:r>
    </w:p>
    <w:p w:rsidR="00961A54" w:rsidRPr="005F75D6" w:rsidRDefault="00961A54" w:rsidP="004F6B15">
      <w:pPr>
        <w:spacing w:line="276" w:lineRule="auto"/>
      </w:pPr>
    </w:p>
    <w:p w:rsidR="0069594F" w:rsidRPr="005F75D6" w:rsidRDefault="0069594F">
      <w:pPr>
        <w:rPr>
          <w:b/>
        </w:rPr>
      </w:pPr>
      <w:r w:rsidRPr="005F75D6">
        <w:rPr>
          <w:b/>
        </w:rPr>
        <w:br w:type="page"/>
      </w:r>
    </w:p>
    <w:p w:rsidR="00961A54" w:rsidRPr="005F75D6" w:rsidRDefault="00961A54" w:rsidP="004F6B15">
      <w:pPr>
        <w:spacing w:line="276" w:lineRule="auto"/>
      </w:pPr>
      <w:r w:rsidRPr="005F75D6">
        <w:rPr>
          <w:b/>
        </w:rPr>
        <w:t>Approvals</w:t>
      </w: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4F6B15">
      <w:pPr>
        <w:spacing w:line="276" w:lineRule="auto"/>
      </w:pPr>
      <w:r w:rsidRPr="005F75D6">
        <w:t>________________________________________________________________________________</w:t>
      </w:r>
      <w:r w:rsidRPr="005F75D6">
        <w:tab/>
      </w:r>
    </w:p>
    <w:p w:rsidR="00961A54" w:rsidRPr="005F75D6" w:rsidRDefault="00961A54" w:rsidP="004F6B15">
      <w:pPr>
        <w:spacing w:line="276" w:lineRule="auto"/>
      </w:pPr>
      <w:r w:rsidRPr="005F75D6">
        <w:t>Chair of the INEG Personnel Committee</w:t>
      </w:r>
      <w:r w:rsidRPr="005F75D6">
        <w:tab/>
      </w:r>
      <w:r w:rsidRPr="005F75D6">
        <w:tab/>
      </w:r>
      <w:r w:rsidRPr="005F75D6">
        <w:tab/>
      </w:r>
      <w:r w:rsidRPr="005F75D6">
        <w:tab/>
      </w:r>
      <w:r w:rsidRPr="005F75D6">
        <w:tab/>
      </w:r>
      <w:r w:rsidRPr="005F75D6">
        <w:tab/>
        <w:t xml:space="preserve">Date </w:t>
      </w:r>
    </w:p>
    <w:p w:rsidR="00E45F91" w:rsidRPr="005F75D6" w:rsidRDefault="00E45F91" w:rsidP="004F6B15">
      <w:pPr>
        <w:spacing w:line="276" w:lineRule="auto"/>
      </w:pPr>
      <w:r w:rsidRPr="005F75D6">
        <w:rPr>
          <w:noProof/>
        </w:rPr>
        <w:drawing>
          <wp:anchor distT="0" distB="0" distL="114300" distR="114300" simplePos="0" relativeHeight="251658240" behindDoc="1" locked="0" layoutInCell="1" allowOverlap="1" wp14:anchorId="0B42FD56" wp14:editId="23FD8C3C">
            <wp:simplePos x="0" y="0"/>
            <wp:positionH relativeFrom="margin">
              <wp:align>left</wp:align>
            </wp:positionH>
            <wp:positionV relativeFrom="paragraph">
              <wp:posOffset>160092</wp:posOffset>
            </wp:positionV>
            <wp:extent cx="2234527" cy="79910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Pohl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4527" cy="799102"/>
                    </a:xfrm>
                    <a:prstGeom prst="rect">
                      <a:avLst/>
                    </a:prstGeom>
                  </pic:spPr>
                </pic:pic>
              </a:graphicData>
            </a:graphic>
          </wp:anchor>
        </w:drawing>
      </w:r>
    </w:p>
    <w:p w:rsidR="00E45F91" w:rsidRPr="005F75D6" w:rsidRDefault="00E45F91" w:rsidP="004F6B15">
      <w:pPr>
        <w:spacing w:line="276" w:lineRule="auto"/>
      </w:pPr>
    </w:p>
    <w:p w:rsidR="00961A54" w:rsidRPr="005F75D6" w:rsidRDefault="00E45F91" w:rsidP="00E45F91">
      <w:pPr>
        <w:tabs>
          <w:tab w:val="left" w:pos="6952"/>
        </w:tabs>
        <w:spacing w:line="276" w:lineRule="auto"/>
      </w:pPr>
      <w:r w:rsidRPr="005F75D6">
        <w:t xml:space="preserve">                                                         </w:t>
      </w:r>
      <w:r w:rsidRPr="005F75D6">
        <w:tab/>
        <w:t>May 8, 2020</w:t>
      </w:r>
    </w:p>
    <w:p w:rsidR="00961A54" w:rsidRPr="005F75D6" w:rsidRDefault="00961A54" w:rsidP="00961A54">
      <w:pPr>
        <w:spacing w:line="276" w:lineRule="auto"/>
      </w:pPr>
      <w:r w:rsidRPr="005F75D6">
        <w:t>________________________________________________________________________________</w:t>
      </w:r>
      <w:r w:rsidRPr="005F75D6">
        <w:tab/>
      </w:r>
    </w:p>
    <w:p w:rsidR="00961A54" w:rsidRPr="005F75D6" w:rsidRDefault="00961A54" w:rsidP="00961A54">
      <w:pPr>
        <w:spacing w:line="276" w:lineRule="auto"/>
      </w:pPr>
      <w:r w:rsidRPr="005F75D6">
        <w:t>INEG Department Head</w:t>
      </w:r>
      <w:r w:rsidRPr="005F75D6">
        <w:tab/>
      </w:r>
      <w:r w:rsidRPr="005F75D6">
        <w:tab/>
      </w:r>
      <w:r w:rsidRPr="005F75D6">
        <w:tab/>
      </w:r>
      <w:r w:rsidRPr="005F75D6">
        <w:tab/>
      </w:r>
      <w:r w:rsidRPr="005F75D6">
        <w:tab/>
      </w:r>
      <w:r w:rsidRPr="005F75D6">
        <w:tab/>
      </w:r>
      <w:r w:rsidRPr="005F75D6">
        <w:tab/>
      </w:r>
      <w:r w:rsidRPr="005F75D6">
        <w:tab/>
        <w:t xml:space="preserve">Date </w:t>
      </w: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961A54">
      <w:pPr>
        <w:spacing w:line="276" w:lineRule="auto"/>
      </w:pPr>
      <w:r w:rsidRPr="005F75D6">
        <w:t>________________________________________________________________________________</w:t>
      </w:r>
      <w:r w:rsidRPr="005F75D6">
        <w:tab/>
      </w:r>
    </w:p>
    <w:p w:rsidR="00961A54" w:rsidRPr="005F75D6" w:rsidRDefault="00961A54" w:rsidP="00961A54">
      <w:pPr>
        <w:spacing w:line="276" w:lineRule="auto"/>
      </w:pPr>
      <w:r w:rsidRPr="005F75D6">
        <w:t>COE Dean</w:t>
      </w:r>
      <w:r w:rsidRPr="005F75D6">
        <w:tab/>
      </w:r>
      <w:r w:rsidRPr="005F75D6">
        <w:tab/>
      </w:r>
      <w:r w:rsidRPr="005F75D6">
        <w:tab/>
      </w:r>
      <w:r w:rsidRPr="005F75D6">
        <w:tab/>
      </w:r>
      <w:r w:rsidRPr="005F75D6">
        <w:tab/>
      </w:r>
      <w:r w:rsidRPr="005F75D6">
        <w:tab/>
      </w:r>
      <w:r w:rsidRPr="005F75D6">
        <w:tab/>
      </w:r>
      <w:r w:rsidRPr="005F75D6">
        <w:tab/>
      </w:r>
      <w:r w:rsidRPr="005F75D6">
        <w:tab/>
        <w:t xml:space="preserve">Date </w:t>
      </w: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961A54">
      <w:pPr>
        <w:spacing w:line="276" w:lineRule="auto"/>
      </w:pPr>
      <w:r w:rsidRPr="005F75D6">
        <w:t>________________________________________________________________________________</w:t>
      </w:r>
      <w:r w:rsidRPr="005F75D6">
        <w:tab/>
      </w:r>
    </w:p>
    <w:p w:rsidR="00961A54" w:rsidRPr="005F75D6" w:rsidRDefault="00961A54" w:rsidP="00961A54">
      <w:pPr>
        <w:spacing w:line="276" w:lineRule="auto"/>
      </w:pPr>
      <w:r w:rsidRPr="005F75D6">
        <w:t>UofA Provost</w:t>
      </w:r>
      <w:r w:rsidRPr="005F75D6">
        <w:tab/>
      </w:r>
      <w:r w:rsidRPr="005F75D6">
        <w:tab/>
      </w:r>
      <w:r w:rsidRPr="005F75D6">
        <w:tab/>
      </w:r>
      <w:r w:rsidRPr="005F75D6">
        <w:tab/>
      </w:r>
      <w:r w:rsidRPr="005F75D6">
        <w:tab/>
      </w:r>
      <w:r w:rsidRPr="005F75D6">
        <w:tab/>
      </w:r>
      <w:r w:rsidRPr="005F75D6">
        <w:tab/>
      </w:r>
      <w:r w:rsidRPr="005F75D6">
        <w:tab/>
      </w:r>
      <w:r w:rsidRPr="005F75D6">
        <w:tab/>
        <w:t xml:space="preserve">Date </w:t>
      </w: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961A54">
      <w:pPr>
        <w:spacing w:line="276" w:lineRule="auto"/>
      </w:pPr>
      <w:r w:rsidRPr="005F75D6">
        <w:t>________________________________________________________________________________</w:t>
      </w:r>
      <w:r w:rsidRPr="005F75D6">
        <w:tab/>
      </w:r>
    </w:p>
    <w:p w:rsidR="00961A54" w:rsidRPr="005F75D6" w:rsidRDefault="00961A54" w:rsidP="00961A54">
      <w:pPr>
        <w:spacing w:line="276" w:lineRule="auto"/>
      </w:pPr>
      <w:r w:rsidRPr="005F75D6">
        <w:t>UofA Chancellor</w:t>
      </w:r>
      <w:r w:rsidRPr="005F75D6">
        <w:tab/>
      </w:r>
      <w:r w:rsidRPr="005F75D6">
        <w:tab/>
      </w:r>
      <w:r w:rsidRPr="005F75D6">
        <w:tab/>
      </w:r>
      <w:r w:rsidRPr="005F75D6">
        <w:tab/>
      </w:r>
      <w:r w:rsidRPr="005F75D6">
        <w:tab/>
      </w:r>
      <w:r w:rsidRPr="005F75D6">
        <w:tab/>
      </w:r>
      <w:r w:rsidRPr="005F75D6">
        <w:tab/>
      </w:r>
      <w:r w:rsidRPr="005F75D6">
        <w:tab/>
        <w:t xml:space="preserve">Date </w:t>
      </w: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4F6B15">
      <w:pPr>
        <w:spacing w:line="276" w:lineRule="auto"/>
      </w:pPr>
    </w:p>
    <w:p w:rsidR="00961A54" w:rsidRPr="005F75D6" w:rsidRDefault="00961A54" w:rsidP="00961A54">
      <w:pPr>
        <w:spacing w:line="276" w:lineRule="auto"/>
      </w:pPr>
      <w:r w:rsidRPr="005F75D6">
        <w:t>________________________________________________________________________________</w:t>
      </w:r>
      <w:r w:rsidRPr="005F75D6">
        <w:tab/>
      </w:r>
    </w:p>
    <w:p w:rsidR="00961A54" w:rsidRPr="005F75D6" w:rsidRDefault="00961A54" w:rsidP="00961A54">
      <w:pPr>
        <w:spacing w:line="276" w:lineRule="auto"/>
      </w:pPr>
      <w:r w:rsidRPr="005F75D6">
        <w:t>University of Arkansas System President</w:t>
      </w:r>
      <w:r w:rsidRPr="005F75D6">
        <w:tab/>
      </w:r>
      <w:r w:rsidRPr="005F75D6">
        <w:tab/>
      </w:r>
      <w:r w:rsidRPr="005F75D6">
        <w:tab/>
      </w:r>
      <w:r w:rsidRPr="005F75D6">
        <w:tab/>
      </w:r>
      <w:r w:rsidRPr="005F75D6">
        <w:tab/>
      </w:r>
      <w:r w:rsidRPr="005F75D6">
        <w:tab/>
        <w:t xml:space="preserve">Date </w:t>
      </w:r>
    </w:p>
    <w:p w:rsidR="00923299" w:rsidRPr="005F75D6" w:rsidRDefault="00923299">
      <w:r w:rsidRPr="005F75D6">
        <w:br w:type="page"/>
      </w:r>
    </w:p>
    <w:p w:rsidR="00923299" w:rsidRPr="005F75D6" w:rsidRDefault="00923299" w:rsidP="004F6B15">
      <w:pPr>
        <w:spacing w:line="276" w:lineRule="auto"/>
        <w:rPr>
          <w:b/>
        </w:rPr>
      </w:pPr>
      <w:r w:rsidRPr="005F75D6">
        <w:rPr>
          <w:b/>
        </w:rPr>
        <w:t>The INEG Peer Review Committee</w:t>
      </w:r>
    </w:p>
    <w:p w:rsidR="00923299" w:rsidRPr="005F75D6" w:rsidRDefault="008C098A" w:rsidP="004F6B15">
      <w:pPr>
        <w:spacing w:line="276" w:lineRule="auto"/>
      </w:pPr>
      <w:r w:rsidRPr="005F75D6">
        <w:t>The INEG Personnel Committee is the Unit Personnel Committee and the Unit</w:t>
      </w:r>
      <w:r w:rsidR="00923299" w:rsidRPr="005F75D6">
        <w:t xml:space="preserve"> Peer Review Committee</w:t>
      </w:r>
      <w:r w:rsidRPr="005F75D6">
        <w:t xml:space="preserve"> for INEG</w:t>
      </w:r>
      <w:r w:rsidR="00923299" w:rsidRPr="005F75D6">
        <w:t>.</w:t>
      </w:r>
    </w:p>
    <w:p w:rsidR="00923299" w:rsidRPr="005F75D6" w:rsidRDefault="00923299" w:rsidP="004F6B15">
      <w:pPr>
        <w:spacing w:line="276" w:lineRule="auto"/>
        <w:rPr>
          <w:b/>
        </w:rPr>
      </w:pPr>
    </w:p>
    <w:p w:rsidR="00FF4C43" w:rsidRPr="005F75D6" w:rsidRDefault="00FF4C43" w:rsidP="00FF4C43">
      <w:pPr>
        <w:spacing w:line="276" w:lineRule="auto"/>
        <w:rPr>
          <w:b/>
        </w:rPr>
      </w:pPr>
      <w:r w:rsidRPr="005F75D6">
        <w:rPr>
          <w:b/>
        </w:rPr>
        <w:t xml:space="preserve">Eligibility of Faculty Serving in Administrative Roles </w:t>
      </w:r>
    </w:p>
    <w:p w:rsidR="00110ED8" w:rsidRPr="005F75D6" w:rsidRDefault="00FF4C43" w:rsidP="00FF4C43">
      <w:pPr>
        <w:spacing w:line="276" w:lineRule="auto"/>
      </w:pPr>
      <w:r w:rsidRPr="005F75D6">
        <w:t>INEG faculty serving in administrative roles at the department head level or higher (assistant or associate dean</w:t>
      </w:r>
      <w:r w:rsidR="008C098A" w:rsidRPr="005F75D6">
        <w:t>;</w:t>
      </w:r>
      <w:r w:rsidRPr="005F75D6">
        <w:t xml:space="preserve"> dean</w:t>
      </w:r>
      <w:r w:rsidR="008C098A" w:rsidRPr="005F75D6">
        <w:t>;</w:t>
      </w:r>
      <w:r w:rsidRPr="005F75D6">
        <w:t xml:space="preserve"> assistant or associate provost</w:t>
      </w:r>
      <w:r w:rsidR="008C098A" w:rsidRPr="005F75D6">
        <w:t>;</w:t>
      </w:r>
      <w:r w:rsidRPr="005F75D6">
        <w:t xml:space="preserve"> provost</w:t>
      </w:r>
      <w:r w:rsidR="008C098A" w:rsidRPr="005F75D6">
        <w:t xml:space="preserve">; assistant, associate, or vice chancellor; </w:t>
      </w:r>
      <w:r w:rsidRPr="005F75D6">
        <w:t>chancellor) are neither eligible to vote for members of the INEG Personnel Committee nor eligible to serve on the INEG Personnel Committee.</w:t>
      </w:r>
      <w:r w:rsidR="00072040" w:rsidRPr="005F75D6">
        <w:t xml:space="preserve"> In addition, INEG faculty serving in administrative roles at the department head level or higher serve on neither the INEG Tenured Faculty Committee nor the INEG Promoted Faculty Committee.</w:t>
      </w:r>
    </w:p>
    <w:p w:rsidR="00FF4C43" w:rsidRPr="005F75D6" w:rsidRDefault="00FF4C43" w:rsidP="00FF4C43">
      <w:pPr>
        <w:spacing w:line="276" w:lineRule="auto"/>
        <w:rPr>
          <w:b/>
        </w:rPr>
      </w:pPr>
    </w:p>
    <w:p w:rsidR="00961A54" w:rsidRPr="005F75D6" w:rsidRDefault="00923299" w:rsidP="004F6B15">
      <w:pPr>
        <w:spacing w:line="276" w:lineRule="auto"/>
        <w:rPr>
          <w:b/>
        </w:rPr>
      </w:pPr>
      <w:r w:rsidRPr="005F75D6">
        <w:rPr>
          <w:b/>
        </w:rPr>
        <w:t>Selection of the INEG Personnel Committee</w:t>
      </w:r>
    </w:p>
    <w:p w:rsidR="00923299" w:rsidRPr="005F75D6" w:rsidRDefault="00923299" w:rsidP="004F6B15">
      <w:pPr>
        <w:spacing w:line="276" w:lineRule="auto"/>
      </w:pPr>
      <w:r w:rsidRPr="005F75D6">
        <w:t xml:space="preserve">At the first INEG faculty meeting of each academic year, a secret-ballot vote is used to determine the seven members of the INEG Personnel Committee. If </w:t>
      </w:r>
      <w:r w:rsidR="005C6E84" w:rsidRPr="005F75D6">
        <w:t>fewer</w:t>
      </w:r>
      <w:r w:rsidRPr="005F75D6">
        <w:t xml:space="preserve"> than eight</w:t>
      </w:r>
      <w:r w:rsidR="0069594F" w:rsidRPr="005F75D6">
        <w:t xml:space="preserve"> faculty</w:t>
      </w:r>
      <w:r w:rsidRPr="005F75D6">
        <w:t xml:space="preserve"> members are eligible to serve on the committee, then all eligible faculty </w:t>
      </w:r>
      <w:r w:rsidR="0069594F" w:rsidRPr="005F75D6">
        <w:t xml:space="preserve">members </w:t>
      </w:r>
      <w:r w:rsidRPr="005F75D6">
        <w:t xml:space="preserve">serve on the committee. </w:t>
      </w:r>
      <w:r w:rsidR="00125448" w:rsidRPr="005F75D6">
        <w:t>If a vote is required, then t</w:t>
      </w:r>
      <w:r w:rsidRPr="005F75D6">
        <w:t>he process for conducting the vote is as follows:</w:t>
      </w:r>
    </w:p>
    <w:p w:rsidR="00923299" w:rsidRPr="005F75D6" w:rsidRDefault="00923299" w:rsidP="00923299">
      <w:pPr>
        <w:pStyle w:val="ListParagraph"/>
        <w:numPr>
          <w:ilvl w:val="0"/>
          <w:numId w:val="2"/>
        </w:numPr>
        <w:spacing w:line="276" w:lineRule="auto"/>
      </w:pPr>
      <w:r w:rsidRPr="005F75D6">
        <w:t>Each faculty member who is eligible to vote receive</w:t>
      </w:r>
      <w:r w:rsidR="0069594F" w:rsidRPr="005F75D6">
        <w:t>s</w:t>
      </w:r>
      <w:r w:rsidRPr="005F75D6">
        <w:t xml:space="preserve"> a ballot listing the names of all faculty </w:t>
      </w:r>
      <w:r w:rsidR="0069594F" w:rsidRPr="005F75D6">
        <w:t xml:space="preserve">members </w:t>
      </w:r>
      <w:r w:rsidRPr="005F75D6">
        <w:t>who are eligible to serve on the committee.</w:t>
      </w:r>
    </w:p>
    <w:p w:rsidR="00125448" w:rsidRPr="005F75D6" w:rsidRDefault="00125448" w:rsidP="00125448">
      <w:pPr>
        <w:pStyle w:val="ListParagraph"/>
        <w:numPr>
          <w:ilvl w:val="0"/>
          <w:numId w:val="2"/>
        </w:numPr>
        <w:spacing w:line="276" w:lineRule="auto"/>
      </w:pPr>
      <w:r w:rsidRPr="005F75D6">
        <w:t xml:space="preserve">Each voting faculty member identifies their preference for the </w:t>
      </w:r>
      <w:r w:rsidR="006C7B20" w:rsidRPr="005F75D6">
        <w:t xml:space="preserve">committee </w:t>
      </w:r>
      <w:r w:rsidRPr="005F75D6">
        <w:t>members by marking the names of exactly seven faculty</w:t>
      </w:r>
      <w:r w:rsidR="0069594F" w:rsidRPr="005F75D6">
        <w:t xml:space="preserve"> members</w:t>
      </w:r>
      <w:r w:rsidRPr="005F75D6">
        <w:t xml:space="preserve"> on the ballot. If the committee must include a non-tenure-track faculty member, then at least one of the marked names must be of a non-tenure-track faculty member. </w:t>
      </w:r>
    </w:p>
    <w:p w:rsidR="00125448" w:rsidRPr="005F75D6" w:rsidRDefault="00125448" w:rsidP="00125448">
      <w:pPr>
        <w:pStyle w:val="ListParagraph"/>
        <w:numPr>
          <w:ilvl w:val="0"/>
          <w:numId w:val="2"/>
        </w:numPr>
        <w:spacing w:line="276" w:lineRule="auto"/>
      </w:pPr>
      <w:r w:rsidRPr="005F75D6">
        <w:t xml:space="preserve">If the committee does not have to include a non-tenure-track faculty member, then the seven faculty </w:t>
      </w:r>
      <w:r w:rsidR="0069594F" w:rsidRPr="005F75D6">
        <w:t xml:space="preserve">members </w:t>
      </w:r>
      <w:r w:rsidRPr="005F75D6">
        <w:t xml:space="preserve">receiving the most votes are elected to the committee. </w:t>
      </w:r>
    </w:p>
    <w:p w:rsidR="00125448" w:rsidRPr="005F75D6" w:rsidRDefault="00125448" w:rsidP="00E11FE3">
      <w:pPr>
        <w:pStyle w:val="ListParagraph"/>
        <w:numPr>
          <w:ilvl w:val="0"/>
          <w:numId w:val="2"/>
        </w:numPr>
        <w:spacing w:line="276" w:lineRule="auto"/>
      </w:pPr>
      <w:r w:rsidRPr="005F75D6">
        <w:t>If the committee must include a non-tenure-track faculty member</w:t>
      </w:r>
      <w:r w:rsidR="00E11FE3" w:rsidRPr="005F75D6">
        <w:t xml:space="preserve">, then the non-tenure-track faculty member receiving the most votes is one </w:t>
      </w:r>
      <w:r w:rsidR="006C7B20" w:rsidRPr="005F75D6">
        <w:t xml:space="preserve">committee </w:t>
      </w:r>
      <w:r w:rsidR="00E11FE3" w:rsidRPr="005F75D6">
        <w:t xml:space="preserve">member. Then, the six remaining </w:t>
      </w:r>
      <w:r w:rsidR="006C7B20" w:rsidRPr="005F75D6">
        <w:t xml:space="preserve">committee </w:t>
      </w:r>
      <w:r w:rsidR="00E11FE3" w:rsidRPr="005F75D6">
        <w:t>members are determined using the tabulated votes.</w:t>
      </w:r>
    </w:p>
    <w:p w:rsidR="00E11FE3" w:rsidRPr="005F75D6" w:rsidRDefault="00E11FE3" w:rsidP="00E11FE3">
      <w:pPr>
        <w:spacing w:line="276" w:lineRule="auto"/>
      </w:pPr>
      <w:r w:rsidRPr="005F75D6">
        <w:t xml:space="preserve">The results of all votes are tabulated by two of the voting faculty members. Additional secret-ballot votes are used to resolve any ties. If additional votes do not resolve </w:t>
      </w:r>
      <w:r w:rsidR="00110ED8" w:rsidRPr="005F75D6">
        <w:t xml:space="preserve">all </w:t>
      </w:r>
      <w:r w:rsidRPr="005F75D6">
        <w:t xml:space="preserve">ties, then a random number generator is used to resolve </w:t>
      </w:r>
      <w:r w:rsidR="00110ED8" w:rsidRPr="005F75D6">
        <w:t>all</w:t>
      </w:r>
      <w:r w:rsidRPr="005F75D6">
        <w:t xml:space="preserve"> </w:t>
      </w:r>
      <w:r w:rsidR="006C7B20" w:rsidRPr="005F75D6">
        <w:t xml:space="preserve">remaining </w:t>
      </w:r>
      <w:r w:rsidRPr="005F75D6">
        <w:t>tie</w:t>
      </w:r>
      <w:r w:rsidR="009F50BE" w:rsidRPr="005F75D6">
        <w:t>s</w:t>
      </w:r>
      <w:r w:rsidRPr="005F75D6">
        <w:t>.</w:t>
      </w:r>
    </w:p>
    <w:p w:rsidR="00E11FE3" w:rsidRPr="005F75D6" w:rsidRDefault="00E11FE3" w:rsidP="00E11FE3">
      <w:pPr>
        <w:spacing w:line="276" w:lineRule="auto"/>
      </w:pPr>
    </w:p>
    <w:p w:rsidR="00E11FE3" w:rsidRPr="005F75D6" w:rsidRDefault="00E11FE3" w:rsidP="00E11FE3">
      <w:pPr>
        <w:spacing w:line="276" w:lineRule="auto"/>
      </w:pPr>
      <w:r w:rsidRPr="005F75D6">
        <w:t xml:space="preserve">At their first meeting of the academic year, the </w:t>
      </w:r>
      <w:r w:rsidR="006C7B20" w:rsidRPr="005F75D6">
        <w:t xml:space="preserve">INEG Personnel Committee </w:t>
      </w:r>
      <w:r w:rsidRPr="005F75D6">
        <w:t>members elect a chair by secret-ballot vote. Each committee member indicates their preference for the</w:t>
      </w:r>
      <w:r w:rsidR="006C7B20" w:rsidRPr="005F75D6">
        <w:t xml:space="preserve"> committee</w:t>
      </w:r>
      <w:r w:rsidRPr="005F75D6">
        <w:t xml:space="preserve"> chair by writing the name of that member on the ballot. The results of all votes are tabulated by two of the committee members. Additional secret-ballot votes are used to resolve any ties. If additional votes do not resolve </w:t>
      </w:r>
      <w:r w:rsidR="00110ED8" w:rsidRPr="005F75D6">
        <w:t xml:space="preserve">all </w:t>
      </w:r>
      <w:r w:rsidRPr="005F75D6">
        <w:t xml:space="preserve">ties, then a random number generator is used to resolve </w:t>
      </w:r>
      <w:r w:rsidR="006C7B20" w:rsidRPr="005F75D6">
        <w:t>all remaining</w:t>
      </w:r>
      <w:r w:rsidRPr="005F75D6">
        <w:t xml:space="preserve"> tie</w:t>
      </w:r>
      <w:r w:rsidR="00110ED8" w:rsidRPr="005F75D6">
        <w:t>s</w:t>
      </w:r>
      <w:r w:rsidRPr="005F75D6">
        <w:t>.</w:t>
      </w:r>
    </w:p>
    <w:p w:rsidR="0011127A" w:rsidRPr="005F75D6" w:rsidRDefault="0011127A" w:rsidP="00E11FE3">
      <w:pPr>
        <w:spacing w:line="276" w:lineRule="auto"/>
      </w:pPr>
    </w:p>
    <w:p w:rsidR="0011127A" w:rsidRPr="005F75D6" w:rsidRDefault="00A63E76" w:rsidP="00E11FE3">
      <w:pPr>
        <w:spacing w:line="276" w:lineRule="auto"/>
      </w:pPr>
      <w:r w:rsidRPr="005F75D6">
        <w:rPr>
          <w:b/>
        </w:rPr>
        <w:t xml:space="preserve">Annual Review of INEG Faculty Performed by the INEG Personnel Committee </w:t>
      </w:r>
    </w:p>
    <w:p w:rsidR="00A63E76" w:rsidRPr="005F75D6" w:rsidRDefault="001F35ED" w:rsidP="00E11FE3">
      <w:pPr>
        <w:spacing w:line="276" w:lineRule="auto"/>
      </w:pPr>
      <w:r w:rsidRPr="005F75D6">
        <w:t>Prior to February 1 of each calendar year</w:t>
      </w:r>
      <w:r w:rsidR="00D6514B" w:rsidRPr="005F75D6">
        <w:t xml:space="preserve">, each full-time </w:t>
      </w:r>
      <w:r w:rsidR="0048009F" w:rsidRPr="005F75D6">
        <w:t xml:space="preserve">INEG faculty </w:t>
      </w:r>
      <w:r w:rsidR="003E27D9" w:rsidRPr="005F75D6">
        <w:t xml:space="preserve">member </w:t>
      </w:r>
      <w:r w:rsidR="0048009F" w:rsidRPr="005F75D6">
        <w:t xml:space="preserve">(not including </w:t>
      </w:r>
      <w:r w:rsidR="00D6514B" w:rsidRPr="005F75D6">
        <w:t>administrators at the department head level or higher</w:t>
      </w:r>
      <w:r w:rsidR="0048009F" w:rsidRPr="005F75D6">
        <w:t>)</w:t>
      </w:r>
      <w:r w:rsidR="00D6514B" w:rsidRPr="005F75D6">
        <w:t xml:space="preserve"> is required to </w:t>
      </w:r>
      <w:r w:rsidRPr="005F75D6">
        <w:t>prepare</w:t>
      </w:r>
      <w:r w:rsidR="00D6514B" w:rsidRPr="005F75D6">
        <w:t xml:space="preserve"> a report summarizing their individual performance </w:t>
      </w:r>
      <w:r w:rsidR="00DA6947" w:rsidRPr="005F75D6">
        <w:t>for at least the</w:t>
      </w:r>
      <w:r w:rsidR="00C74138" w:rsidRPr="005F75D6">
        <w:t xml:space="preserve"> </w:t>
      </w:r>
      <w:r w:rsidRPr="005F75D6">
        <w:t>previous</w:t>
      </w:r>
      <w:r w:rsidR="00D6514B" w:rsidRPr="005F75D6">
        <w:t xml:space="preserve"> calendar year.</w:t>
      </w:r>
      <w:r w:rsidRPr="005F75D6">
        <w:t xml:space="preserve"> These annual reports are </w:t>
      </w:r>
      <w:r w:rsidR="0048009F" w:rsidRPr="005F75D6">
        <w:t xml:space="preserve">submitted to the Assistant to the INEG Department Head who then </w:t>
      </w:r>
      <w:r w:rsidRPr="005F75D6">
        <w:t>deliver</w:t>
      </w:r>
      <w:r w:rsidR="0048009F" w:rsidRPr="005F75D6">
        <w:t>s the reports</w:t>
      </w:r>
      <w:r w:rsidRPr="005F75D6">
        <w:t xml:space="preserve"> to the INEG Personnel Committee</w:t>
      </w:r>
      <w:r w:rsidR="003E27D9" w:rsidRPr="005F75D6">
        <w:t xml:space="preserve"> members</w:t>
      </w:r>
      <w:r w:rsidRPr="005F75D6">
        <w:t xml:space="preserve">. </w:t>
      </w:r>
    </w:p>
    <w:p w:rsidR="001F35ED" w:rsidRPr="005F75D6" w:rsidRDefault="001F35ED" w:rsidP="00E11FE3">
      <w:pPr>
        <w:spacing w:line="276" w:lineRule="auto"/>
      </w:pPr>
    </w:p>
    <w:p w:rsidR="001F35ED" w:rsidRPr="005F75D6" w:rsidRDefault="00CA7D27" w:rsidP="00E11FE3">
      <w:pPr>
        <w:spacing w:line="276" w:lineRule="auto"/>
      </w:pPr>
      <w:r w:rsidRPr="005F75D6">
        <w:t xml:space="preserve">In addition to identification of the calendar year under consideration, </w:t>
      </w:r>
      <w:r w:rsidR="0048009F" w:rsidRPr="005F75D6">
        <w:t>each</w:t>
      </w:r>
      <w:r w:rsidR="001F35ED" w:rsidRPr="005F75D6">
        <w:t xml:space="preserve"> annual report must include the following information:</w:t>
      </w:r>
    </w:p>
    <w:p w:rsidR="00CA7D27" w:rsidRPr="005F75D6" w:rsidRDefault="001F35ED" w:rsidP="00CA7D27">
      <w:pPr>
        <w:pStyle w:val="ListParagraph"/>
        <w:numPr>
          <w:ilvl w:val="0"/>
          <w:numId w:val="4"/>
        </w:numPr>
        <w:spacing w:line="276" w:lineRule="auto"/>
      </w:pPr>
      <w:r w:rsidRPr="005F75D6">
        <w:t>the faculty member’s name, rank, and workload assignment</w:t>
      </w:r>
    </w:p>
    <w:p w:rsidR="001F35ED" w:rsidRPr="005F75D6" w:rsidRDefault="001F35ED" w:rsidP="001F35ED">
      <w:pPr>
        <w:pStyle w:val="ListParagraph"/>
        <w:numPr>
          <w:ilvl w:val="0"/>
          <w:numId w:val="4"/>
        </w:numPr>
        <w:spacing w:line="276" w:lineRule="auto"/>
      </w:pPr>
      <w:r w:rsidRPr="005F75D6">
        <w:t xml:space="preserve">evidence of achievement in teaching as </w:t>
      </w:r>
      <w:r w:rsidR="003E27D9" w:rsidRPr="005F75D6">
        <w:t>defined</w:t>
      </w:r>
      <w:r w:rsidRPr="005F75D6">
        <w:t xml:space="preserve"> in the COE personnel document (if the faculty member’s teaching workload assignment is greater than 0%)</w:t>
      </w:r>
    </w:p>
    <w:p w:rsidR="001F35ED" w:rsidRPr="005F75D6" w:rsidRDefault="001F35ED" w:rsidP="001F35ED">
      <w:pPr>
        <w:pStyle w:val="ListParagraph"/>
        <w:numPr>
          <w:ilvl w:val="0"/>
          <w:numId w:val="4"/>
        </w:numPr>
        <w:spacing w:line="276" w:lineRule="auto"/>
      </w:pPr>
      <w:r w:rsidRPr="005F75D6">
        <w:t xml:space="preserve">evidence of achievement in scholarship as </w:t>
      </w:r>
      <w:r w:rsidR="003E27D9" w:rsidRPr="005F75D6">
        <w:t>defined</w:t>
      </w:r>
      <w:r w:rsidRPr="005F75D6">
        <w:t xml:space="preserve"> in the COE personnel document (if the faculty member’s </w:t>
      </w:r>
      <w:r w:rsidR="00A0640A" w:rsidRPr="005F75D6">
        <w:t>scholarship</w:t>
      </w:r>
      <w:r w:rsidRPr="005F75D6">
        <w:t xml:space="preserve"> workload assignment is greater than 0%)</w:t>
      </w:r>
    </w:p>
    <w:p w:rsidR="001F35ED" w:rsidRPr="005F75D6" w:rsidRDefault="001F35ED" w:rsidP="001F35ED">
      <w:pPr>
        <w:pStyle w:val="ListParagraph"/>
        <w:numPr>
          <w:ilvl w:val="0"/>
          <w:numId w:val="4"/>
        </w:numPr>
        <w:spacing w:line="276" w:lineRule="auto"/>
      </w:pPr>
      <w:r w:rsidRPr="005F75D6">
        <w:t xml:space="preserve">evidence of achievement in academically-related service as </w:t>
      </w:r>
      <w:r w:rsidR="003E27D9" w:rsidRPr="005F75D6">
        <w:t>defined</w:t>
      </w:r>
      <w:r w:rsidRPr="005F75D6">
        <w:t xml:space="preserve"> in the COE personnel document (if the faculty member’s service workload assignment is greater than 0%)</w:t>
      </w:r>
    </w:p>
    <w:p w:rsidR="00C06632" w:rsidRPr="005F75D6" w:rsidRDefault="00C06632" w:rsidP="00C06632">
      <w:pPr>
        <w:spacing w:line="276" w:lineRule="auto"/>
      </w:pPr>
    </w:p>
    <w:p w:rsidR="00C06632" w:rsidRPr="005F75D6" w:rsidRDefault="00C06632" w:rsidP="00C06632">
      <w:pPr>
        <w:spacing w:line="276" w:lineRule="auto"/>
      </w:pPr>
      <w:r w:rsidRPr="005F75D6">
        <w:t>Prior to March 1 of each calendar year:</w:t>
      </w:r>
    </w:p>
    <w:p w:rsidR="00C06632" w:rsidRPr="005F75D6" w:rsidRDefault="00C06632" w:rsidP="00C06632">
      <w:pPr>
        <w:pStyle w:val="ListParagraph"/>
        <w:numPr>
          <w:ilvl w:val="0"/>
          <w:numId w:val="5"/>
        </w:numPr>
        <w:spacing w:line="276" w:lineRule="auto"/>
      </w:pPr>
      <w:r w:rsidRPr="005F75D6">
        <w:t xml:space="preserve">Each INEG Personnel Committee </w:t>
      </w:r>
      <w:r w:rsidR="00005B33" w:rsidRPr="005F75D6">
        <w:t xml:space="preserve">member </w:t>
      </w:r>
      <w:r w:rsidRPr="005F75D6">
        <w:t>reviews the annual reports submitted by INEG faculty</w:t>
      </w:r>
      <w:r w:rsidR="00005B33" w:rsidRPr="005F75D6">
        <w:t xml:space="preserve"> members</w:t>
      </w:r>
      <w:r w:rsidRPr="005F75D6">
        <w:t xml:space="preserve"> regarding the previous calendar year.</w:t>
      </w:r>
      <w:r w:rsidR="00055276" w:rsidRPr="005F75D6">
        <w:t xml:space="preserve"> During this review, each committee member applies their own </w:t>
      </w:r>
      <w:r w:rsidR="00C824EB" w:rsidRPr="005F75D6">
        <w:t>judgment</w:t>
      </w:r>
      <w:r w:rsidR="00055276" w:rsidRPr="005F75D6">
        <w:t xml:space="preserve"> in performing an initial evaluation </w:t>
      </w:r>
      <w:r w:rsidR="00A0640A" w:rsidRPr="005F75D6">
        <w:t xml:space="preserve">of </w:t>
      </w:r>
      <w:r w:rsidR="00055276" w:rsidRPr="005F75D6">
        <w:t xml:space="preserve">the evidence of achievement provided in each report. </w:t>
      </w:r>
    </w:p>
    <w:p w:rsidR="00C06632" w:rsidRPr="005F75D6" w:rsidRDefault="00055276" w:rsidP="00C06632">
      <w:pPr>
        <w:pStyle w:val="ListParagraph"/>
        <w:numPr>
          <w:ilvl w:val="0"/>
          <w:numId w:val="5"/>
        </w:numPr>
        <w:spacing w:line="276" w:lineRule="auto"/>
      </w:pPr>
      <w:r w:rsidRPr="005F75D6">
        <w:t xml:space="preserve">After each member of the </w:t>
      </w:r>
      <w:r w:rsidR="00C824EB" w:rsidRPr="005F75D6">
        <w:t>c</w:t>
      </w:r>
      <w:r w:rsidRPr="005F75D6">
        <w:t>ommittee has had ample opportunity to perform their initial evaluations, t</w:t>
      </w:r>
      <w:r w:rsidR="00C06632" w:rsidRPr="005F75D6">
        <w:t xml:space="preserve">he </w:t>
      </w:r>
      <w:r w:rsidR="00C824EB" w:rsidRPr="005F75D6">
        <w:t>c</w:t>
      </w:r>
      <w:r w:rsidR="00C06632" w:rsidRPr="005F75D6">
        <w:t>ommittee meets to discuss the content of the reports.</w:t>
      </w:r>
      <w:r w:rsidR="00005B33" w:rsidRPr="005F75D6">
        <w:t xml:space="preserve"> </w:t>
      </w:r>
      <w:r w:rsidRPr="005F75D6">
        <w:t xml:space="preserve">During this meeting, each committee member </w:t>
      </w:r>
      <w:r w:rsidR="00E64F49" w:rsidRPr="005F75D6">
        <w:t>has the opportunity to share</w:t>
      </w:r>
      <w:r w:rsidRPr="005F75D6">
        <w:t xml:space="preserve"> their perspective on the strengths and weaknesses of each report. </w:t>
      </w:r>
      <w:r w:rsidR="00005B33" w:rsidRPr="005F75D6">
        <w:t>Committee members do not participate in discussions regarding their own report or reports from individuals with whom they have a personal conflict of interest as defined by University of Arkansas, Fayetteville, Policies and Procedures 404.0.</w:t>
      </w:r>
      <w:r w:rsidRPr="005F75D6">
        <w:t xml:space="preserve"> </w:t>
      </w:r>
    </w:p>
    <w:p w:rsidR="00C06632" w:rsidRPr="005F75D6" w:rsidRDefault="00C824EB" w:rsidP="00C06632">
      <w:pPr>
        <w:pStyle w:val="ListParagraph"/>
        <w:numPr>
          <w:ilvl w:val="0"/>
          <w:numId w:val="5"/>
        </w:numPr>
        <w:spacing w:line="276" w:lineRule="auto"/>
      </w:pPr>
      <w:r w:rsidRPr="005F75D6">
        <w:t>After the meeting of the committee, e</w:t>
      </w:r>
      <w:r w:rsidR="00C06632" w:rsidRPr="005F75D6">
        <w:t xml:space="preserve">ach </w:t>
      </w:r>
      <w:r w:rsidRPr="005F75D6">
        <w:t>committee</w:t>
      </w:r>
      <w:r w:rsidR="00C06632" w:rsidRPr="005F75D6">
        <w:t xml:space="preserve"> </w:t>
      </w:r>
      <w:r w:rsidR="00005B33" w:rsidRPr="005F75D6">
        <w:t xml:space="preserve">member </w:t>
      </w:r>
      <w:r w:rsidR="00C06632" w:rsidRPr="005F75D6">
        <w:t xml:space="preserve">prepares a performance evaluation for each faculty </w:t>
      </w:r>
      <w:r w:rsidR="00005B33" w:rsidRPr="005F75D6">
        <w:t xml:space="preserve">member </w:t>
      </w:r>
      <w:r w:rsidR="00C06632" w:rsidRPr="005F75D6">
        <w:t xml:space="preserve">who submitted </w:t>
      </w:r>
      <w:r w:rsidRPr="005F75D6">
        <w:t>a report</w:t>
      </w:r>
      <w:r w:rsidR="00C06632" w:rsidRPr="005F75D6">
        <w:t xml:space="preserve">. </w:t>
      </w:r>
      <w:r w:rsidR="00005B33" w:rsidRPr="005F75D6">
        <w:t>C</w:t>
      </w:r>
      <w:r w:rsidR="00C06632" w:rsidRPr="005F75D6">
        <w:t xml:space="preserve">ommittee </w:t>
      </w:r>
      <w:r w:rsidR="00005B33" w:rsidRPr="005F75D6">
        <w:t xml:space="preserve">members </w:t>
      </w:r>
      <w:r w:rsidR="00C06632" w:rsidRPr="005F75D6">
        <w:t xml:space="preserve">do not perform self-evaluation and do not perform </w:t>
      </w:r>
      <w:r w:rsidR="00B62EFE" w:rsidRPr="005F75D6">
        <w:t>evaluation in cases of personal conflict of interest as defined by University of Arkansas, Fayetteville, Policies and Procedures 404.0. Each</w:t>
      </w:r>
      <w:r w:rsidR="00C06632" w:rsidRPr="005F75D6">
        <w:t xml:space="preserve"> evaluation includes:</w:t>
      </w:r>
    </w:p>
    <w:p w:rsidR="00C06632" w:rsidRPr="005F75D6" w:rsidRDefault="00A346BD" w:rsidP="00A346BD">
      <w:pPr>
        <w:pStyle w:val="ListParagraph"/>
        <w:numPr>
          <w:ilvl w:val="1"/>
          <w:numId w:val="5"/>
        </w:numPr>
        <w:spacing w:line="276" w:lineRule="auto"/>
      </w:pPr>
      <w:r w:rsidRPr="005F75D6">
        <w:t>a rating of teaching performance of Outstanding, Good, Acceptable, or Unsatisfactory (if the faculty member’s teaching workload assignment is great</w:t>
      </w:r>
      <w:r w:rsidR="005F75D6" w:rsidRPr="005F75D6">
        <w:t>er</w:t>
      </w:r>
      <w:r w:rsidRPr="005F75D6">
        <w:t xml:space="preserve"> than 0%) </w:t>
      </w:r>
      <w:r w:rsidR="00B62EFE" w:rsidRPr="005F75D6">
        <w:t xml:space="preserve">with mandatory written comments if the rating is </w:t>
      </w:r>
      <w:r w:rsidR="001A5456" w:rsidRPr="005F75D6">
        <w:t xml:space="preserve">Outstanding </w:t>
      </w:r>
      <w:r w:rsidR="00B62EFE" w:rsidRPr="005F75D6">
        <w:t>or Unsatisfactory and optional written comments if the rating is Good or Acceptable</w:t>
      </w:r>
    </w:p>
    <w:p w:rsidR="00B62EFE" w:rsidRPr="005F75D6" w:rsidRDefault="00A346BD" w:rsidP="00A346BD">
      <w:pPr>
        <w:pStyle w:val="ListParagraph"/>
        <w:numPr>
          <w:ilvl w:val="1"/>
          <w:numId w:val="5"/>
        </w:numPr>
        <w:spacing w:line="276" w:lineRule="auto"/>
      </w:pPr>
      <w:r w:rsidRPr="005F75D6">
        <w:t xml:space="preserve">a rating of </w:t>
      </w:r>
      <w:r w:rsidR="00307801" w:rsidRPr="005F75D6">
        <w:t>scholarship</w:t>
      </w:r>
      <w:r w:rsidRPr="005F75D6">
        <w:t xml:space="preserve"> performance of Outstanding, Good, Acceptable, or Unsatisfactory (if the faculty member’s </w:t>
      </w:r>
      <w:r w:rsidR="00307801" w:rsidRPr="005F75D6">
        <w:t>scholarship</w:t>
      </w:r>
      <w:r w:rsidRPr="005F75D6">
        <w:t xml:space="preserve"> workload assignment is great</w:t>
      </w:r>
      <w:r w:rsidR="005F75D6" w:rsidRPr="005F75D6">
        <w:t>er</w:t>
      </w:r>
      <w:r w:rsidRPr="005F75D6">
        <w:t xml:space="preserve"> than 0%) with mandatory written comments if the rating is Outstanding or Unsatisfactory and optional written comments if the rating is Good or </w:t>
      </w:r>
      <w:r w:rsidR="00B62EFE" w:rsidRPr="005F75D6">
        <w:t>Acceptable</w:t>
      </w:r>
    </w:p>
    <w:p w:rsidR="00B62EFE" w:rsidRPr="005F75D6" w:rsidRDefault="00A346BD" w:rsidP="00A346BD">
      <w:pPr>
        <w:pStyle w:val="ListParagraph"/>
        <w:numPr>
          <w:ilvl w:val="1"/>
          <w:numId w:val="5"/>
        </w:numPr>
        <w:spacing w:line="276" w:lineRule="auto"/>
      </w:pPr>
      <w:r w:rsidRPr="005F75D6">
        <w:t xml:space="preserve">a rating of service performance of Outstanding, Good, Acceptable, or Unsatisfactory (if the faculty member’s </w:t>
      </w:r>
      <w:r w:rsidR="005349CB" w:rsidRPr="005F75D6">
        <w:t>service</w:t>
      </w:r>
      <w:r w:rsidRPr="005F75D6">
        <w:t xml:space="preserve"> workload assignment is great</w:t>
      </w:r>
      <w:r w:rsidR="005F75D6" w:rsidRPr="005F75D6">
        <w:t>er</w:t>
      </w:r>
      <w:r w:rsidRPr="005F75D6">
        <w:t xml:space="preserve"> than 0%) with mandatory written comments if the rating is Outstanding or Unsatisfactory and optional written comments if the rating is Good or </w:t>
      </w:r>
      <w:r w:rsidR="00B62EFE" w:rsidRPr="005F75D6">
        <w:t>Acceptable</w:t>
      </w:r>
    </w:p>
    <w:p w:rsidR="00055276" w:rsidRPr="005F75D6" w:rsidRDefault="00C824EB" w:rsidP="00C824EB">
      <w:pPr>
        <w:spacing w:line="276" w:lineRule="auto"/>
        <w:ind w:left="720"/>
      </w:pPr>
      <w:r w:rsidRPr="005F75D6">
        <w:t>In determining their ratings, c</w:t>
      </w:r>
      <w:r w:rsidR="00055276" w:rsidRPr="005F75D6">
        <w:t xml:space="preserve">ommittee members </w:t>
      </w:r>
      <w:r w:rsidRPr="005F75D6">
        <w:t>apply their own judgmen</w:t>
      </w:r>
      <w:r w:rsidR="00590B7F" w:rsidRPr="005F75D6">
        <w:t>t in</w:t>
      </w:r>
      <w:r w:rsidR="00055276" w:rsidRPr="005F75D6">
        <w:t xml:space="preserve"> consider</w:t>
      </w:r>
      <w:r w:rsidR="00590B7F" w:rsidRPr="005F75D6">
        <w:t>ing</w:t>
      </w:r>
      <w:r w:rsidR="00055276" w:rsidRPr="005F75D6">
        <w:t xml:space="preserve"> </w:t>
      </w:r>
      <w:r w:rsidRPr="005F75D6">
        <w:t xml:space="preserve">the annual report and the discussion during the committee meeting. In addition, committee members are expected to consider </w:t>
      </w:r>
      <w:r w:rsidR="00055276" w:rsidRPr="005F75D6">
        <w:t xml:space="preserve">that evidence of achievement varies across faculty based on </w:t>
      </w:r>
      <w:r w:rsidRPr="005F75D6">
        <w:t xml:space="preserve">their academic rank, their years of </w:t>
      </w:r>
      <w:r w:rsidR="00117DBF" w:rsidRPr="005F75D6">
        <w:t xml:space="preserve">relevant </w:t>
      </w:r>
      <w:r w:rsidRPr="005F75D6">
        <w:t xml:space="preserve">experience, their workload assignment, their specific </w:t>
      </w:r>
      <w:r w:rsidR="00055276" w:rsidRPr="005F75D6">
        <w:t>areas of expertise</w:t>
      </w:r>
      <w:r w:rsidRPr="005F75D6">
        <w:t>, the types of courses they teach, and more. In determining their ratings, committee members apply the following definitions:</w:t>
      </w:r>
    </w:p>
    <w:p w:rsidR="00C824EB" w:rsidRPr="005F75D6" w:rsidRDefault="00C824EB" w:rsidP="00C824EB">
      <w:pPr>
        <w:pStyle w:val="ListParagraph"/>
        <w:numPr>
          <w:ilvl w:val="0"/>
          <w:numId w:val="6"/>
        </w:numPr>
        <w:spacing w:line="276" w:lineRule="auto"/>
      </w:pPr>
      <w:r w:rsidRPr="005F75D6">
        <w:t xml:space="preserve">Outstanding: The faculty member’s evidence of achievement </w:t>
      </w:r>
      <w:r w:rsidR="00117DBF" w:rsidRPr="005F75D6">
        <w:t>exceeds</w:t>
      </w:r>
      <w:r w:rsidRPr="005F75D6">
        <w:t xml:space="preserve"> </w:t>
      </w:r>
      <w:r w:rsidR="005F75D6" w:rsidRPr="005F75D6">
        <w:t xml:space="preserve">the individual committee member’s </w:t>
      </w:r>
      <w:r w:rsidRPr="005F75D6">
        <w:t xml:space="preserve">expectations of a faculty member </w:t>
      </w:r>
      <w:r w:rsidR="00117DBF" w:rsidRPr="005F75D6">
        <w:t>with similar academic rank, years of relevant experience, and workload assignment.</w:t>
      </w:r>
    </w:p>
    <w:p w:rsidR="00117DBF" w:rsidRPr="005F75D6" w:rsidRDefault="00117DBF" w:rsidP="00C824EB">
      <w:pPr>
        <w:pStyle w:val="ListParagraph"/>
        <w:numPr>
          <w:ilvl w:val="0"/>
          <w:numId w:val="6"/>
        </w:numPr>
        <w:spacing w:line="276" w:lineRule="auto"/>
      </w:pPr>
      <w:r w:rsidRPr="005F75D6">
        <w:t xml:space="preserve">Good: The faculty member’s evidence of achievement meets but does not exceed </w:t>
      </w:r>
      <w:r w:rsidR="005F75D6" w:rsidRPr="005F75D6">
        <w:t xml:space="preserve">the individual committee member’s </w:t>
      </w:r>
      <w:r w:rsidRPr="005F75D6">
        <w:t>expectations of a faculty member with similar academic rank, years of relevant experience, and workload assignment.</w:t>
      </w:r>
    </w:p>
    <w:p w:rsidR="00117DBF" w:rsidRPr="005F75D6" w:rsidRDefault="00117DBF" w:rsidP="00C824EB">
      <w:pPr>
        <w:pStyle w:val="ListParagraph"/>
        <w:numPr>
          <w:ilvl w:val="0"/>
          <w:numId w:val="6"/>
        </w:numPr>
        <w:spacing w:line="276" w:lineRule="auto"/>
      </w:pPr>
      <w:r w:rsidRPr="005F75D6">
        <w:t xml:space="preserve">Acceptable: The faculty member’s evidence of achievement </w:t>
      </w:r>
      <w:r w:rsidR="00307801" w:rsidRPr="005F75D6">
        <w:t xml:space="preserve">meets some but not all </w:t>
      </w:r>
      <w:r w:rsidR="005F75D6" w:rsidRPr="005F75D6">
        <w:t xml:space="preserve">the individual committee member’s </w:t>
      </w:r>
      <w:r w:rsidRPr="005F75D6">
        <w:t>expectations of a faculty member with similar academic rank, years of relevant experience, and workload assignment.</w:t>
      </w:r>
    </w:p>
    <w:p w:rsidR="00117DBF" w:rsidRPr="005F75D6" w:rsidRDefault="00117DBF" w:rsidP="00C824EB">
      <w:pPr>
        <w:pStyle w:val="ListParagraph"/>
        <w:numPr>
          <w:ilvl w:val="0"/>
          <w:numId w:val="6"/>
        </w:numPr>
        <w:spacing w:line="276" w:lineRule="auto"/>
      </w:pPr>
      <w:r w:rsidRPr="005F75D6">
        <w:t xml:space="preserve">Unsatisfactory: The faculty member’s evidence of achievement </w:t>
      </w:r>
      <w:r w:rsidR="005D1276" w:rsidRPr="005F75D6">
        <w:t>fails to meet most</w:t>
      </w:r>
      <w:r w:rsidRPr="005F75D6">
        <w:t xml:space="preserve"> </w:t>
      </w:r>
      <w:r w:rsidR="005F75D6" w:rsidRPr="005F75D6">
        <w:t xml:space="preserve">of the individual committee member’s </w:t>
      </w:r>
      <w:r w:rsidRPr="005F75D6">
        <w:t>expectations of a faculty member with similar academic rank, years of relevant experience, and workload assignment.</w:t>
      </w:r>
    </w:p>
    <w:p w:rsidR="00B62EFE" w:rsidRPr="005F75D6" w:rsidRDefault="00B62EFE" w:rsidP="00B62EFE">
      <w:pPr>
        <w:pStyle w:val="ListParagraph"/>
        <w:numPr>
          <w:ilvl w:val="0"/>
          <w:numId w:val="5"/>
        </w:numPr>
        <w:spacing w:line="276" w:lineRule="auto"/>
      </w:pPr>
      <w:r w:rsidRPr="005F75D6">
        <w:t xml:space="preserve">Each INEG Personnel Committee </w:t>
      </w:r>
      <w:r w:rsidR="00B32544" w:rsidRPr="005F75D6">
        <w:t xml:space="preserve">member </w:t>
      </w:r>
      <w:r w:rsidRPr="005F75D6">
        <w:t>submits their performance evaluation</w:t>
      </w:r>
      <w:r w:rsidR="0048009F" w:rsidRPr="005F75D6">
        <w:t>s</w:t>
      </w:r>
      <w:r w:rsidRPr="005F75D6">
        <w:t xml:space="preserve"> to</w:t>
      </w:r>
      <w:r w:rsidR="0048009F" w:rsidRPr="005F75D6">
        <w:t xml:space="preserve"> only</w:t>
      </w:r>
      <w:r w:rsidRPr="005F75D6">
        <w:t xml:space="preserve"> the Assistant to the INEG Department Head.</w:t>
      </w:r>
      <w:r w:rsidR="0048009F" w:rsidRPr="005F75D6">
        <w:t xml:space="preserve"> </w:t>
      </w:r>
    </w:p>
    <w:p w:rsidR="00B62EFE" w:rsidRPr="005F75D6" w:rsidRDefault="00B62EFE" w:rsidP="00B62EFE">
      <w:pPr>
        <w:pStyle w:val="ListParagraph"/>
        <w:numPr>
          <w:ilvl w:val="0"/>
          <w:numId w:val="5"/>
        </w:numPr>
        <w:spacing w:line="276" w:lineRule="auto"/>
      </w:pPr>
      <w:r w:rsidRPr="005F75D6">
        <w:t xml:space="preserve">The Assistant to the INEG Department Head prepares an anonymous peer review summary for each INEG faculty </w:t>
      </w:r>
      <w:r w:rsidR="00B32544" w:rsidRPr="005F75D6">
        <w:t xml:space="preserve">member </w:t>
      </w:r>
      <w:r w:rsidRPr="005F75D6">
        <w:t>who submitted an annual report regarding the previous calendar year. This summary includes:</w:t>
      </w:r>
    </w:p>
    <w:p w:rsidR="00B62EFE" w:rsidRPr="005F75D6" w:rsidRDefault="00B62EFE" w:rsidP="00B62EFE">
      <w:pPr>
        <w:pStyle w:val="ListParagraph"/>
        <w:numPr>
          <w:ilvl w:val="1"/>
          <w:numId w:val="5"/>
        </w:numPr>
        <w:spacing w:line="276" w:lineRule="auto"/>
      </w:pPr>
      <w:r w:rsidRPr="005F75D6">
        <w:t xml:space="preserve">tabulated teaching performance ratings from the INEG Personnel Committee </w:t>
      </w:r>
      <w:r w:rsidR="00B32544" w:rsidRPr="005F75D6">
        <w:t xml:space="preserve">members </w:t>
      </w:r>
      <w:r w:rsidRPr="005F75D6">
        <w:t xml:space="preserve">along with any written comments regarding teaching provided by </w:t>
      </w:r>
      <w:r w:rsidR="00B32544" w:rsidRPr="005F75D6">
        <w:t xml:space="preserve">committee </w:t>
      </w:r>
      <w:r w:rsidRPr="005F75D6">
        <w:t xml:space="preserve">members (if the faculty member’s teaching workload assignment is greater than 0%) </w:t>
      </w:r>
    </w:p>
    <w:p w:rsidR="00B62EFE" w:rsidRPr="005F75D6" w:rsidRDefault="00B62EFE" w:rsidP="00B62EFE">
      <w:pPr>
        <w:pStyle w:val="ListParagraph"/>
        <w:numPr>
          <w:ilvl w:val="1"/>
          <w:numId w:val="5"/>
        </w:numPr>
        <w:spacing w:line="276" w:lineRule="auto"/>
      </w:pPr>
      <w:r w:rsidRPr="005F75D6">
        <w:t xml:space="preserve">tabulated </w:t>
      </w:r>
      <w:r w:rsidR="00A0640A" w:rsidRPr="005F75D6">
        <w:t>scholarship</w:t>
      </w:r>
      <w:r w:rsidRPr="005F75D6">
        <w:t xml:space="preserve"> performance ratings from the INEG Personnel Committee</w:t>
      </w:r>
      <w:r w:rsidR="00B32544" w:rsidRPr="005F75D6">
        <w:t xml:space="preserve"> members</w:t>
      </w:r>
      <w:r w:rsidRPr="005F75D6">
        <w:t xml:space="preserve"> along with any written comments regarding </w:t>
      </w:r>
      <w:r w:rsidR="00A0640A" w:rsidRPr="005F75D6">
        <w:t xml:space="preserve">scholarship </w:t>
      </w:r>
      <w:r w:rsidRPr="005F75D6">
        <w:t>provided by</w:t>
      </w:r>
      <w:r w:rsidR="00B32544" w:rsidRPr="005F75D6">
        <w:t xml:space="preserve"> committee</w:t>
      </w:r>
      <w:r w:rsidRPr="005F75D6">
        <w:t xml:space="preserve"> members (if the faculty member’s </w:t>
      </w:r>
      <w:r w:rsidR="00307801" w:rsidRPr="005F75D6">
        <w:t xml:space="preserve">scholarship </w:t>
      </w:r>
      <w:r w:rsidRPr="005F75D6">
        <w:t>workload assignment is greater than 0%)</w:t>
      </w:r>
    </w:p>
    <w:p w:rsidR="00B62EFE" w:rsidRPr="005F75D6" w:rsidRDefault="00B62EFE" w:rsidP="00B62EFE">
      <w:pPr>
        <w:pStyle w:val="ListParagraph"/>
        <w:numPr>
          <w:ilvl w:val="1"/>
          <w:numId w:val="5"/>
        </w:numPr>
        <w:spacing w:line="276" w:lineRule="auto"/>
      </w:pPr>
      <w:r w:rsidRPr="005F75D6">
        <w:t xml:space="preserve">tabulated service performance ratings from the INEG Personnel Committee </w:t>
      </w:r>
      <w:r w:rsidR="00B32544" w:rsidRPr="005F75D6">
        <w:t xml:space="preserve">members </w:t>
      </w:r>
      <w:r w:rsidRPr="005F75D6">
        <w:t xml:space="preserve">along with any written comments regarding service provided by </w:t>
      </w:r>
      <w:r w:rsidR="00B32544" w:rsidRPr="005F75D6">
        <w:t xml:space="preserve">committee </w:t>
      </w:r>
      <w:r w:rsidRPr="005F75D6">
        <w:t xml:space="preserve">members (if the faculty member’s </w:t>
      </w:r>
      <w:r w:rsidR="0048009F" w:rsidRPr="005F75D6">
        <w:t>service</w:t>
      </w:r>
      <w:r w:rsidRPr="005F75D6">
        <w:t xml:space="preserve"> workload assignment is greater than 0%)</w:t>
      </w:r>
    </w:p>
    <w:p w:rsidR="0048009F" w:rsidRPr="005F75D6" w:rsidRDefault="0048009F" w:rsidP="0048009F">
      <w:pPr>
        <w:pStyle w:val="ListParagraph"/>
        <w:numPr>
          <w:ilvl w:val="0"/>
          <w:numId w:val="5"/>
        </w:numPr>
        <w:spacing w:line="276" w:lineRule="auto"/>
      </w:pPr>
      <w:r w:rsidRPr="005F75D6">
        <w:t xml:space="preserve">The Assistant to the INEG Department Head submits the peer review summaries to the INEG department head. </w:t>
      </w:r>
    </w:p>
    <w:p w:rsidR="0048009F" w:rsidRPr="005F75D6" w:rsidRDefault="0048009F" w:rsidP="0048009F">
      <w:pPr>
        <w:pStyle w:val="ListParagraph"/>
        <w:numPr>
          <w:ilvl w:val="0"/>
          <w:numId w:val="5"/>
        </w:numPr>
        <w:spacing w:line="276" w:lineRule="auto"/>
      </w:pPr>
      <w:r w:rsidRPr="005F75D6">
        <w:t xml:space="preserve">The INEG department head provides each INEG faculty </w:t>
      </w:r>
      <w:r w:rsidR="00B32544" w:rsidRPr="005F75D6">
        <w:t xml:space="preserve">member </w:t>
      </w:r>
      <w:r w:rsidRPr="005F75D6">
        <w:t>who submitted an annual report regarding the previous calendar year with a copy of their peer review summary.</w:t>
      </w:r>
    </w:p>
    <w:p w:rsidR="00110ED8" w:rsidRPr="005F75D6" w:rsidRDefault="00110ED8" w:rsidP="00E11FE3">
      <w:pPr>
        <w:spacing w:line="276" w:lineRule="auto"/>
      </w:pPr>
    </w:p>
    <w:sectPr w:rsidR="00110ED8" w:rsidRPr="005F75D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BDF" w:rsidRDefault="00A55BDF" w:rsidP="00C74138">
      <w:r>
        <w:separator/>
      </w:r>
    </w:p>
  </w:endnote>
  <w:endnote w:type="continuationSeparator" w:id="0">
    <w:p w:rsidR="00A55BDF" w:rsidRDefault="00A55BDF" w:rsidP="00C7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6635799"/>
      <w:docPartObj>
        <w:docPartGallery w:val="Page Numbers (Bottom of Page)"/>
        <w:docPartUnique/>
      </w:docPartObj>
    </w:sdtPr>
    <w:sdtEndPr>
      <w:rPr>
        <w:rStyle w:val="PageNumber"/>
      </w:rPr>
    </w:sdtEndPr>
    <w:sdtContent>
      <w:p w:rsidR="00C74138" w:rsidRDefault="00C74138" w:rsidP="00DC5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4138" w:rsidRDefault="00C74138" w:rsidP="00C74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087256"/>
      <w:docPartObj>
        <w:docPartGallery w:val="Page Numbers (Bottom of Page)"/>
        <w:docPartUnique/>
      </w:docPartObj>
    </w:sdtPr>
    <w:sdtEndPr>
      <w:rPr>
        <w:rStyle w:val="PageNumber"/>
      </w:rPr>
    </w:sdtEndPr>
    <w:sdtContent>
      <w:p w:rsidR="00C74138" w:rsidRDefault="00C74138" w:rsidP="00DC5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5F91">
          <w:rPr>
            <w:rStyle w:val="PageNumber"/>
            <w:noProof/>
          </w:rPr>
          <w:t>3</w:t>
        </w:r>
        <w:r>
          <w:rPr>
            <w:rStyle w:val="PageNumber"/>
          </w:rPr>
          <w:fldChar w:fldCharType="end"/>
        </w:r>
      </w:p>
    </w:sdtContent>
  </w:sdt>
  <w:p w:rsidR="00C74138" w:rsidRDefault="00C74138" w:rsidP="00C741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BDF" w:rsidRDefault="00A55BDF" w:rsidP="00C74138">
      <w:r>
        <w:separator/>
      </w:r>
    </w:p>
  </w:footnote>
  <w:footnote w:type="continuationSeparator" w:id="0">
    <w:p w:rsidR="00A55BDF" w:rsidRDefault="00A55BDF" w:rsidP="00C7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9E3"/>
    <w:multiLevelType w:val="hybridMultilevel"/>
    <w:tmpl w:val="7D244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84F05"/>
    <w:multiLevelType w:val="hybridMultilevel"/>
    <w:tmpl w:val="7F021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07F5D"/>
    <w:multiLevelType w:val="hybridMultilevel"/>
    <w:tmpl w:val="ABA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203AC"/>
    <w:multiLevelType w:val="hybridMultilevel"/>
    <w:tmpl w:val="3C0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4F14"/>
    <w:multiLevelType w:val="hybridMultilevel"/>
    <w:tmpl w:val="063A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D7425"/>
    <w:multiLevelType w:val="hybridMultilevel"/>
    <w:tmpl w:val="063A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15"/>
    <w:rsid w:val="00000274"/>
    <w:rsid w:val="00002203"/>
    <w:rsid w:val="000031F1"/>
    <w:rsid w:val="00003A9C"/>
    <w:rsid w:val="0000428B"/>
    <w:rsid w:val="000044C3"/>
    <w:rsid w:val="00005B33"/>
    <w:rsid w:val="00012D6F"/>
    <w:rsid w:val="00013136"/>
    <w:rsid w:val="0001772B"/>
    <w:rsid w:val="0002164F"/>
    <w:rsid w:val="00021BDE"/>
    <w:rsid w:val="000231F3"/>
    <w:rsid w:val="00024B57"/>
    <w:rsid w:val="00030551"/>
    <w:rsid w:val="00031302"/>
    <w:rsid w:val="000404DA"/>
    <w:rsid w:val="00041A10"/>
    <w:rsid w:val="0004511C"/>
    <w:rsid w:val="00050255"/>
    <w:rsid w:val="000534F1"/>
    <w:rsid w:val="00054AC4"/>
    <w:rsid w:val="00055276"/>
    <w:rsid w:val="0005716D"/>
    <w:rsid w:val="00060CB1"/>
    <w:rsid w:val="0006647B"/>
    <w:rsid w:val="000674D5"/>
    <w:rsid w:val="00072040"/>
    <w:rsid w:val="00075181"/>
    <w:rsid w:val="00077163"/>
    <w:rsid w:val="00077674"/>
    <w:rsid w:val="00080DA0"/>
    <w:rsid w:val="00082154"/>
    <w:rsid w:val="000824BE"/>
    <w:rsid w:val="0008305E"/>
    <w:rsid w:val="000834E1"/>
    <w:rsid w:val="00084792"/>
    <w:rsid w:val="00084860"/>
    <w:rsid w:val="000916A5"/>
    <w:rsid w:val="0009738C"/>
    <w:rsid w:val="00097A4A"/>
    <w:rsid w:val="000A4553"/>
    <w:rsid w:val="000A5272"/>
    <w:rsid w:val="000A6257"/>
    <w:rsid w:val="000B0CE6"/>
    <w:rsid w:val="000B2721"/>
    <w:rsid w:val="000B286A"/>
    <w:rsid w:val="000B32EA"/>
    <w:rsid w:val="000C1460"/>
    <w:rsid w:val="000C4894"/>
    <w:rsid w:val="000D64C1"/>
    <w:rsid w:val="000E3976"/>
    <w:rsid w:val="000E5E57"/>
    <w:rsid w:val="000F4F35"/>
    <w:rsid w:val="000F578C"/>
    <w:rsid w:val="000F6664"/>
    <w:rsid w:val="000F746C"/>
    <w:rsid w:val="0010297B"/>
    <w:rsid w:val="001073A0"/>
    <w:rsid w:val="00110ED8"/>
    <w:rsid w:val="0011127A"/>
    <w:rsid w:val="0011750E"/>
    <w:rsid w:val="00117DAA"/>
    <w:rsid w:val="00117DBF"/>
    <w:rsid w:val="00120099"/>
    <w:rsid w:val="00125448"/>
    <w:rsid w:val="00132283"/>
    <w:rsid w:val="001355B6"/>
    <w:rsid w:val="001361B1"/>
    <w:rsid w:val="00140241"/>
    <w:rsid w:val="001446D1"/>
    <w:rsid w:val="00144951"/>
    <w:rsid w:val="00146002"/>
    <w:rsid w:val="00146912"/>
    <w:rsid w:val="00151030"/>
    <w:rsid w:val="0015352E"/>
    <w:rsid w:val="001553CF"/>
    <w:rsid w:val="00157C8F"/>
    <w:rsid w:val="001639E9"/>
    <w:rsid w:val="00163CB3"/>
    <w:rsid w:val="0016482D"/>
    <w:rsid w:val="001659D1"/>
    <w:rsid w:val="00165D51"/>
    <w:rsid w:val="00170773"/>
    <w:rsid w:val="00174B40"/>
    <w:rsid w:val="00190878"/>
    <w:rsid w:val="0019479A"/>
    <w:rsid w:val="001A0B56"/>
    <w:rsid w:val="001A4304"/>
    <w:rsid w:val="001A5456"/>
    <w:rsid w:val="001B0265"/>
    <w:rsid w:val="001B0869"/>
    <w:rsid w:val="001B10A2"/>
    <w:rsid w:val="001B4D62"/>
    <w:rsid w:val="001B5093"/>
    <w:rsid w:val="001B7CAC"/>
    <w:rsid w:val="001C0E36"/>
    <w:rsid w:val="001C2ABF"/>
    <w:rsid w:val="001D2DE0"/>
    <w:rsid w:val="001D2FF3"/>
    <w:rsid w:val="001D55CB"/>
    <w:rsid w:val="001D7C71"/>
    <w:rsid w:val="001E4D3C"/>
    <w:rsid w:val="001F175C"/>
    <w:rsid w:val="001F35ED"/>
    <w:rsid w:val="001F48C1"/>
    <w:rsid w:val="001F6781"/>
    <w:rsid w:val="00206649"/>
    <w:rsid w:val="00206E48"/>
    <w:rsid w:val="00211550"/>
    <w:rsid w:val="0021158A"/>
    <w:rsid w:val="00213672"/>
    <w:rsid w:val="002142A4"/>
    <w:rsid w:val="00223EAE"/>
    <w:rsid w:val="00225ECF"/>
    <w:rsid w:val="00235F64"/>
    <w:rsid w:val="002379E2"/>
    <w:rsid w:val="002432F8"/>
    <w:rsid w:val="00244CC8"/>
    <w:rsid w:val="00252232"/>
    <w:rsid w:val="002523F2"/>
    <w:rsid w:val="00252C09"/>
    <w:rsid w:val="00252F5F"/>
    <w:rsid w:val="00262248"/>
    <w:rsid w:val="002647DB"/>
    <w:rsid w:val="00274A39"/>
    <w:rsid w:val="002762D2"/>
    <w:rsid w:val="002764B8"/>
    <w:rsid w:val="0028056B"/>
    <w:rsid w:val="00282B03"/>
    <w:rsid w:val="002A2CEC"/>
    <w:rsid w:val="002B2FEE"/>
    <w:rsid w:val="002B550C"/>
    <w:rsid w:val="002B5D87"/>
    <w:rsid w:val="002B5F7D"/>
    <w:rsid w:val="002B747E"/>
    <w:rsid w:val="002C3C22"/>
    <w:rsid w:val="002D48A7"/>
    <w:rsid w:val="002E0786"/>
    <w:rsid w:val="002E0D9F"/>
    <w:rsid w:val="002E16E3"/>
    <w:rsid w:val="002E2EAB"/>
    <w:rsid w:val="002F5149"/>
    <w:rsid w:val="002F57AE"/>
    <w:rsid w:val="0030134E"/>
    <w:rsid w:val="003040EB"/>
    <w:rsid w:val="00304AEE"/>
    <w:rsid w:val="003055A9"/>
    <w:rsid w:val="00307801"/>
    <w:rsid w:val="00307E9F"/>
    <w:rsid w:val="003158D5"/>
    <w:rsid w:val="00315CB6"/>
    <w:rsid w:val="003210C3"/>
    <w:rsid w:val="00326816"/>
    <w:rsid w:val="00330DA2"/>
    <w:rsid w:val="00331705"/>
    <w:rsid w:val="00341770"/>
    <w:rsid w:val="00346850"/>
    <w:rsid w:val="003511E0"/>
    <w:rsid w:val="0035456B"/>
    <w:rsid w:val="00354A48"/>
    <w:rsid w:val="003614B9"/>
    <w:rsid w:val="00361F45"/>
    <w:rsid w:val="0036375A"/>
    <w:rsid w:val="00367481"/>
    <w:rsid w:val="00367974"/>
    <w:rsid w:val="003727FE"/>
    <w:rsid w:val="003730DA"/>
    <w:rsid w:val="00375B12"/>
    <w:rsid w:val="00377615"/>
    <w:rsid w:val="003776F7"/>
    <w:rsid w:val="00384522"/>
    <w:rsid w:val="00387D71"/>
    <w:rsid w:val="00390E0F"/>
    <w:rsid w:val="0039510A"/>
    <w:rsid w:val="00397A93"/>
    <w:rsid w:val="003B03A3"/>
    <w:rsid w:val="003B0C2C"/>
    <w:rsid w:val="003C3A55"/>
    <w:rsid w:val="003C5B32"/>
    <w:rsid w:val="003C5D27"/>
    <w:rsid w:val="003E27D9"/>
    <w:rsid w:val="003F321D"/>
    <w:rsid w:val="003F3849"/>
    <w:rsid w:val="003F46FD"/>
    <w:rsid w:val="003F6CD4"/>
    <w:rsid w:val="00411725"/>
    <w:rsid w:val="0041242B"/>
    <w:rsid w:val="004176F2"/>
    <w:rsid w:val="00420EF3"/>
    <w:rsid w:val="00421024"/>
    <w:rsid w:val="0042114C"/>
    <w:rsid w:val="0042578D"/>
    <w:rsid w:val="004341B6"/>
    <w:rsid w:val="0044560B"/>
    <w:rsid w:val="004465B7"/>
    <w:rsid w:val="00446A0A"/>
    <w:rsid w:val="00451FB7"/>
    <w:rsid w:val="00453CD9"/>
    <w:rsid w:val="00463130"/>
    <w:rsid w:val="00467F90"/>
    <w:rsid w:val="00473538"/>
    <w:rsid w:val="0048009F"/>
    <w:rsid w:val="00483B2E"/>
    <w:rsid w:val="00485E99"/>
    <w:rsid w:val="00485EA3"/>
    <w:rsid w:val="0048622A"/>
    <w:rsid w:val="0048630F"/>
    <w:rsid w:val="004900F0"/>
    <w:rsid w:val="00491771"/>
    <w:rsid w:val="00493E50"/>
    <w:rsid w:val="00494718"/>
    <w:rsid w:val="00494BD0"/>
    <w:rsid w:val="00495584"/>
    <w:rsid w:val="00495E98"/>
    <w:rsid w:val="004A08CF"/>
    <w:rsid w:val="004A7729"/>
    <w:rsid w:val="004B0BD5"/>
    <w:rsid w:val="004B4408"/>
    <w:rsid w:val="004B470E"/>
    <w:rsid w:val="004C1115"/>
    <w:rsid w:val="004D1E18"/>
    <w:rsid w:val="004D7130"/>
    <w:rsid w:val="004E265E"/>
    <w:rsid w:val="004E33B7"/>
    <w:rsid w:val="004E45E5"/>
    <w:rsid w:val="004F4276"/>
    <w:rsid w:val="004F4B20"/>
    <w:rsid w:val="004F4E67"/>
    <w:rsid w:val="004F6B15"/>
    <w:rsid w:val="0050122B"/>
    <w:rsid w:val="00502254"/>
    <w:rsid w:val="00502D28"/>
    <w:rsid w:val="00505D63"/>
    <w:rsid w:val="00506B6C"/>
    <w:rsid w:val="00507007"/>
    <w:rsid w:val="0051081B"/>
    <w:rsid w:val="00514FFB"/>
    <w:rsid w:val="00515268"/>
    <w:rsid w:val="00515CB6"/>
    <w:rsid w:val="00533E05"/>
    <w:rsid w:val="005347CB"/>
    <w:rsid w:val="005349CB"/>
    <w:rsid w:val="005425DB"/>
    <w:rsid w:val="00554614"/>
    <w:rsid w:val="00554847"/>
    <w:rsid w:val="00565263"/>
    <w:rsid w:val="005771DC"/>
    <w:rsid w:val="00580C0C"/>
    <w:rsid w:val="00581E57"/>
    <w:rsid w:val="00582046"/>
    <w:rsid w:val="005850FF"/>
    <w:rsid w:val="00586562"/>
    <w:rsid w:val="00587D29"/>
    <w:rsid w:val="00590078"/>
    <w:rsid w:val="00590B7F"/>
    <w:rsid w:val="005913C2"/>
    <w:rsid w:val="005A1157"/>
    <w:rsid w:val="005B4044"/>
    <w:rsid w:val="005C1DE0"/>
    <w:rsid w:val="005C5A36"/>
    <w:rsid w:val="005C676C"/>
    <w:rsid w:val="005C6E84"/>
    <w:rsid w:val="005C7B3C"/>
    <w:rsid w:val="005D0E6F"/>
    <w:rsid w:val="005D1276"/>
    <w:rsid w:val="005D199A"/>
    <w:rsid w:val="005D282F"/>
    <w:rsid w:val="005D365B"/>
    <w:rsid w:val="005D5492"/>
    <w:rsid w:val="005D773A"/>
    <w:rsid w:val="005E03E2"/>
    <w:rsid w:val="005E5BF0"/>
    <w:rsid w:val="005F0387"/>
    <w:rsid w:val="005F4903"/>
    <w:rsid w:val="005F75D6"/>
    <w:rsid w:val="00607793"/>
    <w:rsid w:val="00613AF5"/>
    <w:rsid w:val="00614255"/>
    <w:rsid w:val="0062208C"/>
    <w:rsid w:val="0062440F"/>
    <w:rsid w:val="00630FF2"/>
    <w:rsid w:val="00632535"/>
    <w:rsid w:val="00634139"/>
    <w:rsid w:val="006358FC"/>
    <w:rsid w:val="00641068"/>
    <w:rsid w:val="00642BC9"/>
    <w:rsid w:val="006524EC"/>
    <w:rsid w:val="006529E6"/>
    <w:rsid w:val="00667021"/>
    <w:rsid w:val="00671260"/>
    <w:rsid w:val="006729B1"/>
    <w:rsid w:val="00674971"/>
    <w:rsid w:val="00674C7B"/>
    <w:rsid w:val="00680367"/>
    <w:rsid w:val="006841CD"/>
    <w:rsid w:val="006848AC"/>
    <w:rsid w:val="0068645C"/>
    <w:rsid w:val="00691D87"/>
    <w:rsid w:val="0069594F"/>
    <w:rsid w:val="006A0A52"/>
    <w:rsid w:val="006A1044"/>
    <w:rsid w:val="006A75BE"/>
    <w:rsid w:val="006B3D2F"/>
    <w:rsid w:val="006B43C1"/>
    <w:rsid w:val="006C290C"/>
    <w:rsid w:val="006C39DA"/>
    <w:rsid w:val="006C7B20"/>
    <w:rsid w:val="006D07D4"/>
    <w:rsid w:val="006D1B2B"/>
    <w:rsid w:val="006D7092"/>
    <w:rsid w:val="006E355E"/>
    <w:rsid w:val="006E3FA7"/>
    <w:rsid w:val="006F023A"/>
    <w:rsid w:val="006F2308"/>
    <w:rsid w:val="006F3B5E"/>
    <w:rsid w:val="006F71EE"/>
    <w:rsid w:val="0070629A"/>
    <w:rsid w:val="0071120A"/>
    <w:rsid w:val="00714D2B"/>
    <w:rsid w:val="00715774"/>
    <w:rsid w:val="00716396"/>
    <w:rsid w:val="00721AEA"/>
    <w:rsid w:val="00723068"/>
    <w:rsid w:val="00725850"/>
    <w:rsid w:val="007335F1"/>
    <w:rsid w:val="0074211B"/>
    <w:rsid w:val="00746419"/>
    <w:rsid w:val="007533A2"/>
    <w:rsid w:val="00754FA5"/>
    <w:rsid w:val="00762B70"/>
    <w:rsid w:val="00764340"/>
    <w:rsid w:val="0076506C"/>
    <w:rsid w:val="007703AD"/>
    <w:rsid w:val="00772999"/>
    <w:rsid w:val="007736E7"/>
    <w:rsid w:val="0077712E"/>
    <w:rsid w:val="0078451F"/>
    <w:rsid w:val="00784BFC"/>
    <w:rsid w:val="00794647"/>
    <w:rsid w:val="00795DB9"/>
    <w:rsid w:val="007966DB"/>
    <w:rsid w:val="007A133A"/>
    <w:rsid w:val="007A58B7"/>
    <w:rsid w:val="007A5E27"/>
    <w:rsid w:val="007A5FC7"/>
    <w:rsid w:val="007A7B91"/>
    <w:rsid w:val="007B16A2"/>
    <w:rsid w:val="007B2971"/>
    <w:rsid w:val="007B3744"/>
    <w:rsid w:val="007B5F73"/>
    <w:rsid w:val="007C5341"/>
    <w:rsid w:val="007C689A"/>
    <w:rsid w:val="007D01C7"/>
    <w:rsid w:val="007D125E"/>
    <w:rsid w:val="007D4D2D"/>
    <w:rsid w:val="007D7426"/>
    <w:rsid w:val="007D790E"/>
    <w:rsid w:val="007E1A2C"/>
    <w:rsid w:val="007E371B"/>
    <w:rsid w:val="007E6BB0"/>
    <w:rsid w:val="007E7B9F"/>
    <w:rsid w:val="007F5011"/>
    <w:rsid w:val="00801198"/>
    <w:rsid w:val="008042B2"/>
    <w:rsid w:val="00806E96"/>
    <w:rsid w:val="00806FD2"/>
    <w:rsid w:val="00811411"/>
    <w:rsid w:val="00814DA7"/>
    <w:rsid w:val="0081545D"/>
    <w:rsid w:val="00815835"/>
    <w:rsid w:val="00815850"/>
    <w:rsid w:val="00820EB1"/>
    <w:rsid w:val="0082407C"/>
    <w:rsid w:val="00824526"/>
    <w:rsid w:val="008261EC"/>
    <w:rsid w:val="008311C1"/>
    <w:rsid w:val="0083592C"/>
    <w:rsid w:val="00842DD9"/>
    <w:rsid w:val="0084636E"/>
    <w:rsid w:val="00847BCB"/>
    <w:rsid w:val="008501F8"/>
    <w:rsid w:val="008520DE"/>
    <w:rsid w:val="00863DF8"/>
    <w:rsid w:val="00865BA8"/>
    <w:rsid w:val="00867F08"/>
    <w:rsid w:val="00876A48"/>
    <w:rsid w:val="00877EAF"/>
    <w:rsid w:val="008809C4"/>
    <w:rsid w:val="008833BB"/>
    <w:rsid w:val="0088524E"/>
    <w:rsid w:val="00886AA0"/>
    <w:rsid w:val="00887C9B"/>
    <w:rsid w:val="0089005E"/>
    <w:rsid w:val="00891E9F"/>
    <w:rsid w:val="00894005"/>
    <w:rsid w:val="00896AD7"/>
    <w:rsid w:val="00897303"/>
    <w:rsid w:val="008A091E"/>
    <w:rsid w:val="008A52DB"/>
    <w:rsid w:val="008A5B22"/>
    <w:rsid w:val="008C098A"/>
    <w:rsid w:val="008C0AAA"/>
    <w:rsid w:val="008C1BD7"/>
    <w:rsid w:val="008C3554"/>
    <w:rsid w:val="008D0275"/>
    <w:rsid w:val="008E009D"/>
    <w:rsid w:val="008E33A8"/>
    <w:rsid w:val="008E45F4"/>
    <w:rsid w:val="008E4985"/>
    <w:rsid w:val="008E4CC1"/>
    <w:rsid w:val="008E75CE"/>
    <w:rsid w:val="008F1AF0"/>
    <w:rsid w:val="008F4A5D"/>
    <w:rsid w:val="008F56F4"/>
    <w:rsid w:val="008F68CC"/>
    <w:rsid w:val="009010D8"/>
    <w:rsid w:val="00901993"/>
    <w:rsid w:val="00905EAA"/>
    <w:rsid w:val="00914657"/>
    <w:rsid w:val="00920A13"/>
    <w:rsid w:val="009211A3"/>
    <w:rsid w:val="009223AA"/>
    <w:rsid w:val="00923299"/>
    <w:rsid w:val="0092424A"/>
    <w:rsid w:val="00930091"/>
    <w:rsid w:val="0093185D"/>
    <w:rsid w:val="0093225E"/>
    <w:rsid w:val="0093765D"/>
    <w:rsid w:val="009400AF"/>
    <w:rsid w:val="009429F7"/>
    <w:rsid w:val="009446F6"/>
    <w:rsid w:val="0095264B"/>
    <w:rsid w:val="009544B7"/>
    <w:rsid w:val="00955E62"/>
    <w:rsid w:val="00956FC9"/>
    <w:rsid w:val="00961A54"/>
    <w:rsid w:val="0096471D"/>
    <w:rsid w:val="0096630B"/>
    <w:rsid w:val="009701E6"/>
    <w:rsid w:val="009704E9"/>
    <w:rsid w:val="00972BFC"/>
    <w:rsid w:val="00975FD1"/>
    <w:rsid w:val="00976B59"/>
    <w:rsid w:val="00976C29"/>
    <w:rsid w:val="00981C94"/>
    <w:rsid w:val="009842D9"/>
    <w:rsid w:val="00987874"/>
    <w:rsid w:val="0099514A"/>
    <w:rsid w:val="009B6D2F"/>
    <w:rsid w:val="009B7FD7"/>
    <w:rsid w:val="009C162F"/>
    <w:rsid w:val="009C2038"/>
    <w:rsid w:val="009C6159"/>
    <w:rsid w:val="009C6462"/>
    <w:rsid w:val="009C700F"/>
    <w:rsid w:val="009D16A6"/>
    <w:rsid w:val="009D24A7"/>
    <w:rsid w:val="009D3E45"/>
    <w:rsid w:val="009D5A87"/>
    <w:rsid w:val="009E4271"/>
    <w:rsid w:val="009E45C9"/>
    <w:rsid w:val="009E4BFD"/>
    <w:rsid w:val="009E5550"/>
    <w:rsid w:val="009E6A85"/>
    <w:rsid w:val="009F1C3D"/>
    <w:rsid w:val="009F50BE"/>
    <w:rsid w:val="00A0640A"/>
    <w:rsid w:val="00A06CBA"/>
    <w:rsid w:val="00A07EBE"/>
    <w:rsid w:val="00A1453B"/>
    <w:rsid w:val="00A16112"/>
    <w:rsid w:val="00A21D0D"/>
    <w:rsid w:val="00A22FE2"/>
    <w:rsid w:val="00A25989"/>
    <w:rsid w:val="00A27A89"/>
    <w:rsid w:val="00A31AA7"/>
    <w:rsid w:val="00A346BD"/>
    <w:rsid w:val="00A35DD2"/>
    <w:rsid w:val="00A41039"/>
    <w:rsid w:val="00A434A3"/>
    <w:rsid w:val="00A473A6"/>
    <w:rsid w:val="00A47763"/>
    <w:rsid w:val="00A5271E"/>
    <w:rsid w:val="00A5314D"/>
    <w:rsid w:val="00A5339D"/>
    <w:rsid w:val="00A55BDF"/>
    <w:rsid w:val="00A55DDD"/>
    <w:rsid w:val="00A5707A"/>
    <w:rsid w:val="00A57681"/>
    <w:rsid w:val="00A63E34"/>
    <w:rsid w:val="00A63E76"/>
    <w:rsid w:val="00A74A44"/>
    <w:rsid w:val="00A74DD7"/>
    <w:rsid w:val="00A84E8D"/>
    <w:rsid w:val="00A857DF"/>
    <w:rsid w:val="00A90DE3"/>
    <w:rsid w:val="00A90E0A"/>
    <w:rsid w:val="00A91A57"/>
    <w:rsid w:val="00A92F4E"/>
    <w:rsid w:val="00AA3DCB"/>
    <w:rsid w:val="00AB15F3"/>
    <w:rsid w:val="00AB4587"/>
    <w:rsid w:val="00AB7583"/>
    <w:rsid w:val="00AC3B0D"/>
    <w:rsid w:val="00AC4174"/>
    <w:rsid w:val="00AC43CF"/>
    <w:rsid w:val="00AC54E7"/>
    <w:rsid w:val="00AC61CA"/>
    <w:rsid w:val="00AD1066"/>
    <w:rsid w:val="00AD274A"/>
    <w:rsid w:val="00AE1D09"/>
    <w:rsid w:val="00AE5B11"/>
    <w:rsid w:val="00AE6EB4"/>
    <w:rsid w:val="00AF38E6"/>
    <w:rsid w:val="00AF4985"/>
    <w:rsid w:val="00AF5D84"/>
    <w:rsid w:val="00B0050A"/>
    <w:rsid w:val="00B0070E"/>
    <w:rsid w:val="00B10B0F"/>
    <w:rsid w:val="00B127BD"/>
    <w:rsid w:val="00B12B6A"/>
    <w:rsid w:val="00B137C9"/>
    <w:rsid w:val="00B2452C"/>
    <w:rsid w:val="00B2725C"/>
    <w:rsid w:val="00B30828"/>
    <w:rsid w:val="00B3199B"/>
    <w:rsid w:val="00B32544"/>
    <w:rsid w:val="00B3509F"/>
    <w:rsid w:val="00B35928"/>
    <w:rsid w:val="00B439F7"/>
    <w:rsid w:val="00B4405A"/>
    <w:rsid w:val="00B457BC"/>
    <w:rsid w:val="00B45FC4"/>
    <w:rsid w:val="00B55619"/>
    <w:rsid w:val="00B56E88"/>
    <w:rsid w:val="00B60F8D"/>
    <w:rsid w:val="00B62EFE"/>
    <w:rsid w:val="00B74923"/>
    <w:rsid w:val="00B80E11"/>
    <w:rsid w:val="00B973BD"/>
    <w:rsid w:val="00BA1C5E"/>
    <w:rsid w:val="00BA1DE0"/>
    <w:rsid w:val="00BA2E60"/>
    <w:rsid w:val="00BA407E"/>
    <w:rsid w:val="00BA70E2"/>
    <w:rsid w:val="00BB38CC"/>
    <w:rsid w:val="00BC5C44"/>
    <w:rsid w:val="00BC785C"/>
    <w:rsid w:val="00BC7D55"/>
    <w:rsid w:val="00BD0CFE"/>
    <w:rsid w:val="00BD447B"/>
    <w:rsid w:val="00BD4563"/>
    <w:rsid w:val="00BE5099"/>
    <w:rsid w:val="00BF1EAF"/>
    <w:rsid w:val="00BF30AF"/>
    <w:rsid w:val="00BF4898"/>
    <w:rsid w:val="00BF6898"/>
    <w:rsid w:val="00C0074B"/>
    <w:rsid w:val="00C04A9F"/>
    <w:rsid w:val="00C06632"/>
    <w:rsid w:val="00C073CA"/>
    <w:rsid w:val="00C109D2"/>
    <w:rsid w:val="00C11AB8"/>
    <w:rsid w:val="00C257E3"/>
    <w:rsid w:val="00C26FD2"/>
    <w:rsid w:val="00C355FE"/>
    <w:rsid w:val="00C3645E"/>
    <w:rsid w:val="00C462B1"/>
    <w:rsid w:val="00C469D7"/>
    <w:rsid w:val="00C47E1F"/>
    <w:rsid w:val="00C509D3"/>
    <w:rsid w:val="00C53446"/>
    <w:rsid w:val="00C53D78"/>
    <w:rsid w:val="00C53F90"/>
    <w:rsid w:val="00C56498"/>
    <w:rsid w:val="00C573A7"/>
    <w:rsid w:val="00C70A8D"/>
    <w:rsid w:val="00C74138"/>
    <w:rsid w:val="00C744EB"/>
    <w:rsid w:val="00C77B74"/>
    <w:rsid w:val="00C824EB"/>
    <w:rsid w:val="00C82DCD"/>
    <w:rsid w:val="00C9264E"/>
    <w:rsid w:val="00C95AF0"/>
    <w:rsid w:val="00CA2DED"/>
    <w:rsid w:val="00CA4667"/>
    <w:rsid w:val="00CA75BA"/>
    <w:rsid w:val="00CA7AE1"/>
    <w:rsid w:val="00CA7D27"/>
    <w:rsid w:val="00CB268B"/>
    <w:rsid w:val="00CC16F5"/>
    <w:rsid w:val="00CC2798"/>
    <w:rsid w:val="00CD6880"/>
    <w:rsid w:val="00CE678E"/>
    <w:rsid w:val="00CF0A72"/>
    <w:rsid w:val="00CF2A2F"/>
    <w:rsid w:val="00CF2FB0"/>
    <w:rsid w:val="00CF4872"/>
    <w:rsid w:val="00CF75AD"/>
    <w:rsid w:val="00CF76C0"/>
    <w:rsid w:val="00D01275"/>
    <w:rsid w:val="00D036FD"/>
    <w:rsid w:val="00D041B5"/>
    <w:rsid w:val="00D0522C"/>
    <w:rsid w:val="00D10D37"/>
    <w:rsid w:val="00D1287E"/>
    <w:rsid w:val="00D15C13"/>
    <w:rsid w:val="00D16797"/>
    <w:rsid w:val="00D2255D"/>
    <w:rsid w:val="00D25A6E"/>
    <w:rsid w:val="00D27519"/>
    <w:rsid w:val="00D31248"/>
    <w:rsid w:val="00D403BA"/>
    <w:rsid w:val="00D4428C"/>
    <w:rsid w:val="00D462DA"/>
    <w:rsid w:val="00D55975"/>
    <w:rsid w:val="00D567DA"/>
    <w:rsid w:val="00D633AB"/>
    <w:rsid w:val="00D6514B"/>
    <w:rsid w:val="00D71271"/>
    <w:rsid w:val="00D71D5F"/>
    <w:rsid w:val="00D730B5"/>
    <w:rsid w:val="00D76E73"/>
    <w:rsid w:val="00D81F2C"/>
    <w:rsid w:val="00D83921"/>
    <w:rsid w:val="00D83C1B"/>
    <w:rsid w:val="00D9590F"/>
    <w:rsid w:val="00D97EB4"/>
    <w:rsid w:val="00DA206D"/>
    <w:rsid w:val="00DA4808"/>
    <w:rsid w:val="00DA6947"/>
    <w:rsid w:val="00DB65C6"/>
    <w:rsid w:val="00DC2041"/>
    <w:rsid w:val="00DD1CFF"/>
    <w:rsid w:val="00DD7A6D"/>
    <w:rsid w:val="00DE16B0"/>
    <w:rsid w:val="00DF2C5D"/>
    <w:rsid w:val="00DF35E8"/>
    <w:rsid w:val="00E0491B"/>
    <w:rsid w:val="00E07380"/>
    <w:rsid w:val="00E07ACA"/>
    <w:rsid w:val="00E114D3"/>
    <w:rsid w:val="00E11FE3"/>
    <w:rsid w:val="00E16755"/>
    <w:rsid w:val="00E21D35"/>
    <w:rsid w:val="00E25935"/>
    <w:rsid w:val="00E26822"/>
    <w:rsid w:val="00E268D8"/>
    <w:rsid w:val="00E26B24"/>
    <w:rsid w:val="00E27CEA"/>
    <w:rsid w:val="00E30667"/>
    <w:rsid w:val="00E45F91"/>
    <w:rsid w:val="00E51098"/>
    <w:rsid w:val="00E52CAC"/>
    <w:rsid w:val="00E5452B"/>
    <w:rsid w:val="00E61A8E"/>
    <w:rsid w:val="00E64F49"/>
    <w:rsid w:val="00E67031"/>
    <w:rsid w:val="00E7046B"/>
    <w:rsid w:val="00E74DC8"/>
    <w:rsid w:val="00E938BE"/>
    <w:rsid w:val="00E971AF"/>
    <w:rsid w:val="00EA2722"/>
    <w:rsid w:val="00EA37A7"/>
    <w:rsid w:val="00EA47F0"/>
    <w:rsid w:val="00EB23FF"/>
    <w:rsid w:val="00EC2455"/>
    <w:rsid w:val="00EC333B"/>
    <w:rsid w:val="00ED004E"/>
    <w:rsid w:val="00ED175F"/>
    <w:rsid w:val="00ED4E4A"/>
    <w:rsid w:val="00ED75B8"/>
    <w:rsid w:val="00EF6017"/>
    <w:rsid w:val="00EF7BF7"/>
    <w:rsid w:val="00F01D4D"/>
    <w:rsid w:val="00F05DBD"/>
    <w:rsid w:val="00F10B58"/>
    <w:rsid w:val="00F119A7"/>
    <w:rsid w:val="00F14DAC"/>
    <w:rsid w:val="00F22916"/>
    <w:rsid w:val="00F26F67"/>
    <w:rsid w:val="00F309E6"/>
    <w:rsid w:val="00F33085"/>
    <w:rsid w:val="00F33B27"/>
    <w:rsid w:val="00F3495F"/>
    <w:rsid w:val="00F35DEC"/>
    <w:rsid w:val="00F41155"/>
    <w:rsid w:val="00F44E3B"/>
    <w:rsid w:val="00F45998"/>
    <w:rsid w:val="00F46315"/>
    <w:rsid w:val="00F46F88"/>
    <w:rsid w:val="00F47966"/>
    <w:rsid w:val="00F53C4E"/>
    <w:rsid w:val="00F55E5D"/>
    <w:rsid w:val="00F56C29"/>
    <w:rsid w:val="00F63848"/>
    <w:rsid w:val="00F6597F"/>
    <w:rsid w:val="00F8005B"/>
    <w:rsid w:val="00F82282"/>
    <w:rsid w:val="00F90774"/>
    <w:rsid w:val="00F9189F"/>
    <w:rsid w:val="00F92CC2"/>
    <w:rsid w:val="00F97678"/>
    <w:rsid w:val="00FA3F05"/>
    <w:rsid w:val="00FA7530"/>
    <w:rsid w:val="00FB790C"/>
    <w:rsid w:val="00FC1D7B"/>
    <w:rsid w:val="00FC645D"/>
    <w:rsid w:val="00FC67FC"/>
    <w:rsid w:val="00FC6D57"/>
    <w:rsid w:val="00FD0C55"/>
    <w:rsid w:val="00FD2F5E"/>
    <w:rsid w:val="00FD305A"/>
    <w:rsid w:val="00FD6C18"/>
    <w:rsid w:val="00FE0820"/>
    <w:rsid w:val="00FE0A1B"/>
    <w:rsid w:val="00FE4FD1"/>
    <w:rsid w:val="00FE670F"/>
    <w:rsid w:val="00FF0B1D"/>
    <w:rsid w:val="00FF46B7"/>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BE28"/>
  <w15:chartTrackingRefBased/>
  <w15:docId w15:val="{DE29148A-5FF2-443D-A2D7-46654724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57"/>
    <w:pPr>
      <w:ind w:left="720"/>
      <w:contextualSpacing/>
    </w:pPr>
  </w:style>
  <w:style w:type="character" w:styleId="Hyperlink">
    <w:name w:val="Hyperlink"/>
    <w:basedOn w:val="DefaultParagraphFont"/>
    <w:uiPriority w:val="99"/>
    <w:unhideWhenUsed/>
    <w:rsid w:val="000A6257"/>
    <w:rPr>
      <w:color w:val="0563C1" w:themeColor="hyperlink"/>
      <w:u w:val="single"/>
    </w:rPr>
  </w:style>
  <w:style w:type="character" w:styleId="CommentReference">
    <w:name w:val="annotation reference"/>
    <w:basedOn w:val="DefaultParagraphFont"/>
    <w:uiPriority w:val="99"/>
    <w:semiHidden/>
    <w:unhideWhenUsed/>
    <w:rsid w:val="005C6E84"/>
    <w:rPr>
      <w:sz w:val="16"/>
      <w:szCs w:val="16"/>
    </w:rPr>
  </w:style>
  <w:style w:type="paragraph" w:styleId="CommentText">
    <w:name w:val="annotation text"/>
    <w:basedOn w:val="Normal"/>
    <w:link w:val="CommentTextChar"/>
    <w:uiPriority w:val="99"/>
    <w:semiHidden/>
    <w:unhideWhenUsed/>
    <w:rsid w:val="005C6E84"/>
    <w:rPr>
      <w:sz w:val="20"/>
      <w:szCs w:val="20"/>
    </w:rPr>
  </w:style>
  <w:style w:type="character" w:customStyle="1" w:styleId="CommentTextChar">
    <w:name w:val="Comment Text Char"/>
    <w:basedOn w:val="DefaultParagraphFont"/>
    <w:link w:val="CommentText"/>
    <w:uiPriority w:val="99"/>
    <w:semiHidden/>
    <w:rsid w:val="005C6E84"/>
    <w:rPr>
      <w:sz w:val="20"/>
      <w:szCs w:val="20"/>
    </w:rPr>
  </w:style>
  <w:style w:type="paragraph" w:styleId="CommentSubject">
    <w:name w:val="annotation subject"/>
    <w:basedOn w:val="CommentText"/>
    <w:next w:val="CommentText"/>
    <w:link w:val="CommentSubjectChar"/>
    <w:uiPriority w:val="99"/>
    <w:semiHidden/>
    <w:unhideWhenUsed/>
    <w:rsid w:val="005C6E84"/>
    <w:rPr>
      <w:b/>
      <w:bCs/>
    </w:rPr>
  </w:style>
  <w:style w:type="character" w:customStyle="1" w:styleId="CommentSubjectChar">
    <w:name w:val="Comment Subject Char"/>
    <w:basedOn w:val="CommentTextChar"/>
    <w:link w:val="CommentSubject"/>
    <w:uiPriority w:val="99"/>
    <w:semiHidden/>
    <w:rsid w:val="005C6E84"/>
    <w:rPr>
      <w:b/>
      <w:bCs/>
      <w:sz w:val="20"/>
      <w:szCs w:val="20"/>
    </w:rPr>
  </w:style>
  <w:style w:type="paragraph" w:styleId="BalloonText">
    <w:name w:val="Balloon Text"/>
    <w:basedOn w:val="Normal"/>
    <w:link w:val="BalloonTextChar"/>
    <w:uiPriority w:val="99"/>
    <w:semiHidden/>
    <w:unhideWhenUsed/>
    <w:rsid w:val="005C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84"/>
    <w:rPr>
      <w:rFonts w:ascii="Segoe UI" w:hAnsi="Segoe UI" w:cs="Segoe UI"/>
      <w:sz w:val="18"/>
      <w:szCs w:val="18"/>
    </w:rPr>
  </w:style>
  <w:style w:type="paragraph" w:styleId="Footer">
    <w:name w:val="footer"/>
    <w:basedOn w:val="Normal"/>
    <w:link w:val="FooterChar"/>
    <w:uiPriority w:val="99"/>
    <w:unhideWhenUsed/>
    <w:rsid w:val="00C74138"/>
    <w:pPr>
      <w:tabs>
        <w:tab w:val="center" w:pos="4680"/>
        <w:tab w:val="right" w:pos="9360"/>
      </w:tabs>
    </w:pPr>
  </w:style>
  <w:style w:type="character" w:customStyle="1" w:styleId="FooterChar">
    <w:name w:val="Footer Char"/>
    <w:basedOn w:val="DefaultParagraphFont"/>
    <w:link w:val="Footer"/>
    <w:uiPriority w:val="99"/>
    <w:rsid w:val="00C74138"/>
  </w:style>
  <w:style w:type="character" w:styleId="PageNumber">
    <w:name w:val="page number"/>
    <w:basedOn w:val="DefaultParagraphFont"/>
    <w:uiPriority w:val="99"/>
    <w:semiHidden/>
    <w:unhideWhenUsed/>
    <w:rsid w:val="00C7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Cassady</dc:creator>
  <cp:keywords/>
  <dc:description/>
  <cp:lastModifiedBy>Richard Cassady</cp:lastModifiedBy>
  <cp:revision>9</cp:revision>
  <dcterms:created xsi:type="dcterms:W3CDTF">2021-06-29T01:46:00Z</dcterms:created>
  <dcterms:modified xsi:type="dcterms:W3CDTF">2021-09-01T23:28:00Z</dcterms:modified>
</cp:coreProperties>
</file>